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aps w:val="0"/>
          <w:color w:val="auto"/>
          <w:spacing w:val="0"/>
          <w:sz w:val="44"/>
          <w:szCs w:val="44"/>
          <w:shd w:val="clear" w:fill="FFFFFF"/>
          <w:lang w:val="en-US" w:eastAsia="zh-CN"/>
        </w:rPr>
      </w:pPr>
      <w:r>
        <w:rPr>
          <w:rFonts w:hint="eastAsia" w:ascii="方正小标宋简体" w:hAnsi="方正小标宋简体" w:eastAsia="方正小标宋简体" w:cs="方正小标宋简体"/>
          <w:i w:val="0"/>
          <w:caps w:val="0"/>
          <w:color w:val="auto"/>
          <w:spacing w:val="-6"/>
          <w:sz w:val="44"/>
          <w:szCs w:val="44"/>
          <w:shd w:val="clear" w:fill="FFFFFF"/>
          <w:lang w:val="en-US" w:eastAsia="zh-CN"/>
        </w:rPr>
        <w:t>池州市提升工业用地容积率</w:t>
      </w:r>
      <w:r>
        <w:rPr>
          <w:rFonts w:hint="eastAsia" w:ascii="方正小标宋简体" w:hAnsi="方正小标宋简体" w:eastAsia="方正小标宋简体" w:cs="方正小标宋简体"/>
          <w:i w:val="0"/>
          <w:caps w:val="0"/>
          <w:color w:val="auto"/>
          <w:spacing w:val="-6"/>
          <w:sz w:val="44"/>
          <w:szCs w:val="44"/>
          <w:shd w:val="clear" w:fill="FFFFFF"/>
        </w:rPr>
        <w:t>推动“工业上楼”</w:t>
      </w:r>
      <w:r>
        <w:rPr>
          <w:rFonts w:hint="eastAsia" w:ascii="方正小标宋简体" w:hAnsi="方正小标宋简体" w:eastAsia="方正小标宋简体" w:cs="方正小标宋简体"/>
          <w:i w:val="0"/>
          <w:caps w:val="0"/>
          <w:color w:val="auto"/>
          <w:spacing w:val="0"/>
          <w:sz w:val="44"/>
          <w:szCs w:val="44"/>
          <w:shd w:val="clear" w:fill="FFFFFF"/>
          <w:lang w:eastAsia="zh-CN"/>
        </w:rPr>
        <w:t>行动</w:t>
      </w:r>
      <w:r>
        <w:rPr>
          <w:rFonts w:hint="eastAsia" w:ascii="方正小标宋简体" w:hAnsi="方正小标宋简体" w:eastAsia="方正小标宋简体" w:cs="方正小标宋简体"/>
          <w:i w:val="0"/>
          <w:caps w:val="0"/>
          <w:color w:val="auto"/>
          <w:spacing w:val="0"/>
          <w:sz w:val="44"/>
          <w:szCs w:val="44"/>
          <w:shd w:val="clear" w:fill="FFFFFF"/>
          <w:lang w:val="en-US" w:eastAsia="zh-CN"/>
        </w:rPr>
        <w:t>的实施意见</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i w:val="0"/>
          <w:caps w:val="0"/>
          <w:color w:val="auto"/>
          <w:spacing w:val="0"/>
          <w:sz w:val="32"/>
          <w:szCs w:val="32"/>
          <w:shd w:val="clear" w:fill="FFFFFF"/>
          <w:lang w:val="en-US" w:eastAsia="zh-CN"/>
        </w:rPr>
      </w:pPr>
      <w:r>
        <w:rPr>
          <w:rFonts w:hint="eastAsia" w:ascii="楷体_GB2312" w:hAnsi="楷体_GB2312" w:eastAsia="楷体_GB2312" w:cs="楷体_GB2312"/>
          <w:i w:val="0"/>
          <w:caps w:val="0"/>
          <w:color w:val="auto"/>
          <w:spacing w:val="0"/>
          <w:sz w:val="32"/>
          <w:szCs w:val="32"/>
          <w:shd w:val="clear" w:fill="FFFFFF"/>
          <w:lang w:val="en-US"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default" w:ascii="黑体" w:hAnsi="黑体" w:eastAsia="黑体" w:cs="黑体"/>
          <w:i w:val="0"/>
          <w:caps w:val="0"/>
          <w:color w:val="auto"/>
          <w:spacing w:val="0"/>
          <w:sz w:val="32"/>
          <w:szCs w:val="32"/>
          <w:shd w:val="clear" w:fill="FFFFFF"/>
          <w:lang w:val="en-US"/>
        </w:rPr>
      </w:pPr>
      <w:r>
        <w:rPr>
          <w:rFonts w:hint="eastAsia" w:ascii="仿宋_GB2312" w:hAnsi="仿宋_GB2312" w:eastAsia="仿宋_GB2312" w:cs="仿宋_GB2312"/>
          <w:i w:val="0"/>
          <w:caps w:val="0"/>
          <w:color w:val="auto"/>
          <w:spacing w:val="0"/>
          <w:sz w:val="32"/>
          <w:szCs w:val="32"/>
          <w:shd w:val="clear" w:fill="FFFFFF"/>
          <w:lang w:val="en-US" w:eastAsia="zh-CN"/>
        </w:rPr>
        <w:t>为贯彻落实省委十一届五次全会《中共安徽省委关于坚定不移沿着习近平总书记指引的方向前进奋力走出新时代安徽高质量发展新路的决定》精神，加强我市工业项目建设用地管理，树牢寸土寸金的思想，破除惯性思维，对标先进水平，推进我市</w:t>
      </w:r>
      <w:r>
        <w:rPr>
          <w:rFonts w:hint="eastAsia" w:ascii="仿宋_GB2312" w:hAnsi="仿宋_GB2312" w:eastAsia="仿宋_GB2312" w:cs="仿宋_GB2312"/>
          <w:i w:val="0"/>
          <w:caps w:val="0"/>
          <w:color w:val="auto"/>
          <w:spacing w:val="0"/>
          <w:sz w:val="32"/>
          <w:szCs w:val="32"/>
          <w:shd w:val="clear" w:fill="FFFFFF"/>
        </w:rPr>
        <w:t>工业用地</w:t>
      </w:r>
      <w:r>
        <w:rPr>
          <w:rFonts w:hint="eastAsia" w:ascii="仿宋_GB2312" w:hAnsi="仿宋_GB2312" w:eastAsia="仿宋_GB2312" w:cs="仿宋_GB2312"/>
          <w:i w:val="0"/>
          <w:caps w:val="0"/>
          <w:color w:val="auto"/>
          <w:spacing w:val="0"/>
          <w:sz w:val="32"/>
          <w:szCs w:val="32"/>
          <w:shd w:val="clear" w:fill="FFFFFF"/>
          <w:lang w:val="en-US" w:eastAsia="zh-CN"/>
        </w:rPr>
        <w:t>节约</w:t>
      </w:r>
      <w:r>
        <w:rPr>
          <w:rFonts w:hint="eastAsia" w:ascii="仿宋_GB2312" w:hAnsi="仿宋_GB2312" w:eastAsia="仿宋_GB2312" w:cs="仿宋_GB2312"/>
          <w:i w:val="0"/>
          <w:caps w:val="0"/>
          <w:color w:val="auto"/>
          <w:spacing w:val="0"/>
          <w:sz w:val="32"/>
          <w:szCs w:val="32"/>
          <w:shd w:val="clear" w:fill="FFFFFF"/>
        </w:rPr>
        <w:t>集约</w:t>
      </w:r>
      <w:r>
        <w:rPr>
          <w:rFonts w:hint="eastAsia" w:ascii="仿宋_GB2312" w:hAnsi="仿宋_GB2312" w:eastAsia="仿宋_GB2312" w:cs="仿宋_GB2312"/>
          <w:i w:val="0"/>
          <w:caps w:val="0"/>
          <w:color w:val="auto"/>
          <w:spacing w:val="0"/>
          <w:sz w:val="32"/>
          <w:szCs w:val="32"/>
          <w:shd w:val="clear" w:fill="FFFFFF"/>
          <w:lang w:val="en-US" w:eastAsia="zh-CN"/>
        </w:rPr>
        <w:t>和高效</w:t>
      </w:r>
      <w:r>
        <w:rPr>
          <w:rFonts w:hint="eastAsia" w:ascii="仿宋_GB2312" w:hAnsi="仿宋_GB2312" w:eastAsia="仿宋_GB2312" w:cs="仿宋_GB2312"/>
          <w:i w:val="0"/>
          <w:caps w:val="0"/>
          <w:color w:val="auto"/>
          <w:spacing w:val="0"/>
          <w:sz w:val="32"/>
          <w:szCs w:val="32"/>
          <w:shd w:val="clear" w:fill="FFFFFF"/>
        </w:rPr>
        <w:t>利用</w:t>
      </w:r>
      <w:r>
        <w:rPr>
          <w:rFonts w:hint="eastAsia" w:ascii="仿宋_GB2312" w:hAnsi="仿宋_GB2312" w:eastAsia="仿宋_GB2312" w:cs="仿宋_GB2312"/>
          <w:i w:val="0"/>
          <w:caps w:val="0"/>
          <w:color w:val="auto"/>
          <w:spacing w:val="0"/>
          <w:sz w:val="32"/>
          <w:szCs w:val="32"/>
          <w:shd w:val="clear" w:fill="FFFFFF"/>
          <w:lang w:eastAsia="zh-CN"/>
        </w:rPr>
        <w:t>。</w:t>
      </w:r>
      <w:r>
        <w:rPr>
          <w:rFonts w:hint="eastAsia" w:ascii="仿宋_GB2312" w:hAnsi="仿宋_GB2312" w:eastAsia="仿宋_GB2312" w:cs="仿宋_GB2312"/>
          <w:i w:val="0"/>
          <w:caps w:val="0"/>
          <w:color w:val="auto"/>
          <w:spacing w:val="0"/>
          <w:sz w:val="32"/>
          <w:szCs w:val="32"/>
          <w:shd w:val="clear" w:fill="FFFFFF"/>
          <w:lang w:val="en-US" w:eastAsia="zh-CN"/>
        </w:rPr>
        <w:t>现将我市提升工业</w:t>
      </w:r>
      <w:r>
        <w:rPr>
          <w:rFonts w:hint="eastAsia" w:ascii="仿宋_GB2312" w:hAnsi="仿宋_GB2312" w:eastAsia="仿宋_GB2312" w:cs="仿宋_GB2312"/>
          <w:i w:val="0"/>
          <w:caps w:val="0"/>
          <w:color w:val="auto"/>
          <w:spacing w:val="0"/>
          <w:sz w:val="32"/>
          <w:szCs w:val="32"/>
          <w:shd w:val="clear" w:fill="FFFFFF"/>
          <w:lang w:eastAsia="zh-CN"/>
        </w:rPr>
        <w:t>项目容积率</w:t>
      </w:r>
      <w:r>
        <w:rPr>
          <w:rFonts w:hint="eastAsia" w:ascii="仿宋_GB2312" w:hAnsi="仿宋_GB2312" w:eastAsia="仿宋_GB2312" w:cs="仿宋_GB2312"/>
          <w:i w:val="0"/>
          <w:caps w:val="0"/>
          <w:color w:val="auto"/>
          <w:spacing w:val="0"/>
          <w:sz w:val="32"/>
          <w:szCs w:val="32"/>
          <w:shd w:val="clear" w:fill="FFFFFF"/>
        </w:rPr>
        <w:t>，</w:t>
      </w:r>
      <w:r>
        <w:rPr>
          <w:rFonts w:hint="eastAsia" w:ascii="仿宋_GB2312" w:hAnsi="仿宋_GB2312" w:eastAsia="仿宋_GB2312" w:cs="仿宋_GB2312"/>
          <w:i w:val="0"/>
          <w:caps w:val="0"/>
          <w:color w:val="auto"/>
          <w:spacing w:val="0"/>
          <w:sz w:val="32"/>
          <w:szCs w:val="32"/>
          <w:shd w:val="clear" w:fill="FFFFFF"/>
          <w:lang w:val="en-US" w:eastAsia="zh-CN"/>
        </w:rPr>
        <w:t>推动</w:t>
      </w:r>
      <w:r>
        <w:rPr>
          <w:rFonts w:hint="eastAsia" w:ascii="仿宋_GB2312" w:hAnsi="仿宋_GB2312" w:eastAsia="仿宋_GB2312" w:cs="仿宋_GB2312"/>
          <w:i w:val="0"/>
          <w:caps w:val="0"/>
          <w:color w:val="auto"/>
          <w:spacing w:val="0"/>
          <w:sz w:val="32"/>
          <w:szCs w:val="32"/>
          <w:shd w:val="clear" w:fill="FFFFFF"/>
          <w:lang w:eastAsia="zh-CN"/>
        </w:rPr>
        <w:t>“</w:t>
      </w:r>
      <w:r>
        <w:rPr>
          <w:rFonts w:hint="eastAsia" w:ascii="仿宋_GB2312" w:hAnsi="仿宋_GB2312" w:eastAsia="仿宋_GB2312" w:cs="仿宋_GB2312"/>
          <w:i w:val="0"/>
          <w:caps w:val="0"/>
          <w:color w:val="auto"/>
          <w:spacing w:val="0"/>
          <w:sz w:val="32"/>
          <w:szCs w:val="32"/>
          <w:shd w:val="clear" w:fill="FFFFFF"/>
          <w:lang w:val="en-US" w:eastAsia="zh-CN"/>
        </w:rPr>
        <w:t>工业上楼</w:t>
      </w:r>
      <w:r>
        <w:rPr>
          <w:rFonts w:hint="eastAsia" w:ascii="仿宋_GB2312" w:hAnsi="仿宋_GB2312" w:eastAsia="仿宋_GB2312" w:cs="仿宋_GB2312"/>
          <w:i w:val="0"/>
          <w:caps w:val="0"/>
          <w:color w:val="auto"/>
          <w:spacing w:val="0"/>
          <w:sz w:val="32"/>
          <w:szCs w:val="32"/>
          <w:shd w:val="clear" w:fill="FFFFFF"/>
          <w:lang w:eastAsia="zh-CN"/>
        </w:rPr>
        <w:t>”</w:t>
      </w:r>
      <w:r>
        <w:rPr>
          <w:rFonts w:hint="eastAsia" w:ascii="仿宋_GB2312" w:hAnsi="仿宋_GB2312" w:eastAsia="仿宋_GB2312" w:cs="仿宋_GB2312"/>
          <w:i w:val="0"/>
          <w:caps w:val="0"/>
          <w:color w:val="auto"/>
          <w:spacing w:val="0"/>
          <w:sz w:val="32"/>
          <w:szCs w:val="32"/>
          <w:shd w:val="clear" w:fill="FFFFFF"/>
          <w:lang w:val="en-US" w:eastAsia="zh-CN"/>
        </w:rPr>
        <w:t>提出如下实施意见：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黑体" w:hAnsi="黑体" w:eastAsia="黑体" w:cs="黑体"/>
          <w:i w:val="0"/>
          <w:caps w:val="0"/>
          <w:color w:val="auto"/>
          <w:spacing w:val="0"/>
          <w:sz w:val="32"/>
          <w:szCs w:val="32"/>
          <w:shd w:val="clear" w:fill="FFFFFF"/>
          <w:lang w:val="en-US" w:eastAsia="zh-CN"/>
        </w:rPr>
      </w:pPr>
      <w:r>
        <w:rPr>
          <w:rFonts w:hint="eastAsia" w:ascii="黑体" w:hAnsi="黑体" w:eastAsia="黑体" w:cs="黑体"/>
          <w:i w:val="0"/>
          <w:caps w:val="0"/>
          <w:color w:val="auto"/>
          <w:spacing w:val="0"/>
          <w:sz w:val="32"/>
          <w:szCs w:val="32"/>
          <w:shd w:val="clear" w:fill="FFFFFF"/>
          <w:lang w:val="en-US" w:eastAsia="zh-CN"/>
        </w:rPr>
        <w:t>一、实施范围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default" w:ascii="仿宋_GB2312" w:hAnsi="仿宋_GB2312" w:eastAsia="仿宋_GB2312" w:cs="仿宋_GB2312"/>
          <w:i w:val="0"/>
          <w:caps w:val="0"/>
          <w:color w:val="auto"/>
          <w:spacing w:val="0"/>
          <w:sz w:val="32"/>
          <w:szCs w:val="32"/>
          <w:shd w:val="clear" w:fill="FFFFFF"/>
          <w:lang w:val="en-US" w:eastAsia="zh-CN"/>
        </w:rPr>
      </w:pPr>
      <w:r>
        <w:rPr>
          <w:rFonts w:hint="eastAsia" w:ascii="仿宋_GB2312" w:hAnsi="仿宋_GB2312" w:eastAsia="仿宋_GB2312" w:cs="仿宋_GB2312"/>
          <w:i w:val="0"/>
          <w:caps w:val="0"/>
          <w:color w:val="auto"/>
          <w:spacing w:val="0"/>
          <w:sz w:val="32"/>
          <w:szCs w:val="32"/>
          <w:shd w:val="clear" w:fill="FFFFFF"/>
          <w:lang w:val="en-US" w:eastAsia="zh-CN"/>
        </w:rPr>
        <w:t>原则上我市所有新建、改建、扩建工业项目用地都要提升工业用地容积率水平，重点是省级以上开发区。</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黑体" w:eastAsia="黑体"/>
          <w:color w:val="auto"/>
          <w:lang w:val="en-US" w:eastAsia="zh-CN"/>
        </w:rPr>
      </w:pPr>
      <w:r>
        <w:rPr>
          <w:rFonts w:hint="eastAsia" w:ascii="黑体" w:hAnsi="黑体" w:eastAsia="黑体" w:cs="黑体"/>
          <w:i w:val="0"/>
          <w:caps w:val="0"/>
          <w:color w:val="auto"/>
          <w:spacing w:val="0"/>
          <w:sz w:val="32"/>
          <w:szCs w:val="32"/>
          <w:shd w:val="clear" w:fill="FFFFFF"/>
          <w:lang w:val="en-US" w:eastAsia="zh-CN"/>
        </w:rPr>
        <w:t>二</w:t>
      </w:r>
      <w:r>
        <w:rPr>
          <w:rFonts w:hint="eastAsia" w:ascii="黑体" w:hAnsi="黑体" w:eastAsia="黑体" w:cs="黑体"/>
          <w:i w:val="0"/>
          <w:caps w:val="0"/>
          <w:color w:val="auto"/>
          <w:spacing w:val="0"/>
          <w:sz w:val="32"/>
          <w:szCs w:val="32"/>
          <w:shd w:val="clear" w:fill="FFFFFF"/>
        </w:rPr>
        <w:t>、</w:t>
      </w:r>
      <w:r>
        <w:rPr>
          <w:rFonts w:hint="eastAsia" w:ascii="黑体" w:hAnsi="黑体" w:eastAsia="黑体" w:cs="黑体"/>
          <w:i w:val="0"/>
          <w:caps w:val="0"/>
          <w:color w:val="auto"/>
          <w:spacing w:val="0"/>
          <w:sz w:val="32"/>
          <w:szCs w:val="32"/>
          <w:shd w:val="clear" w:fill="FFFFFF"/>
          <w:lang w:val="en-US" w:eastAsia="zh-CN"/>
        </w:rPr>
        <w:t>提升容积率标准</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cs="仿宋_GB2312"/>
          <w:color w:val="auto"/>
          <w:sz w:val="32"/>
          <w:szCs w:val="32"/>
          <w:u w:val="none"/>
          <w:lang w:val="en-US" w:eastAsia="zh-CN"/>
        </w:rPr>
      </w:pPr>
      <w:r>
        <w:rPr>
          <w:rFonts w:hint="eastAsia" w:ascii="仿宋_GB2312" w:hAnsi="仿宋_GB2312" w:cs="仿宋_GB2312"/>
          <w:i w:val="0"/>
          <w:caps w:val="0"/>
          <w:color w:val="auto"/>
          <w:spacing w:val="0"/>
          <w:sz w:val="32"/>
          <w:szCs w:val="32"/>
          <w:shd w:val="clear" w:fill="FFFFFF"/>
          <w:lang w:val="en-US" w:eastAsia="zh-CN"/>
        </w:rPr>
        <w:t>（一）</w:t>
      </w:r>
      <w:r>
        <w:rPr>
          <w:rFonts w:hint="eastAsia" w:ascii="仿宋_GB2312" w:hAnsi="仿宋_GB2312" w:eastAsia="仿宋_GB2312" w:cs="仿宋_GB2312"/>
          <w:i w:val="0"/>
          <w:caps w:val="0"/>
          <w:color w:val="auto"/>
          <w:spacing w:val="0"/>
          <w:sz w:val="32"/>
          <w:szCs w:val="32"/>
          <w:shd w:val="clear" w:fill="FFFFFF"/>
          <w:lang w:val="en-US" w:eastAsia="zh-CN"/>
        </w:rPr>
        <w:t>新建、改建、扩建</w:t>
      </w:r>
      <w:r>
        <w:rPr>
          <w:rFonts w:hint="eastAsia" w:ascii="仿宋_GB2312" w:hAnsi="仿宋_GB2312" w:cs="仿宋_GB2312"/>
          <w:i w:val="0"/>
          <w:caps w:val="0"/>
          <w:color w:val="auto"/>
          <w:spacing w:val="0"/>
          <w:sz w:val="32"/>
          <w:szCs w:val="32"/>
          <w:shd w:val="clear" w:fill="FFFFFF"/>
          <w:lang w:val="en-US" w:eastAsia="zh-CN"/>
        </w:rPr>
        <w:t>工业用地必须符合《自然资源部关于发布〈工业项目建设用地控制指标〉的通知》（自然资发</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cs="仿宋_GB2312"/>
          <w:i w:val="0"/>
          <w:caps w:val="0"/>
          <w:color w:val="auto"/>
          <w:spacing w:val="0"/>
          <w:sz w:val="32"/>
          <w:szCs w:val="32"/>
          <w:shd w:val="clear" w:fill="FFFFFF"/>
          <w:lang w:val="en-US" w:eastAsia="zh-CN"/>
        </w:rPr>
        <w:t>2023</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cs="仿宋_GB2312"/>
          <w:i w:val="0"/>
          <w:caps w:val="0"/>
          <w:color w:val="auto"/>
          <w:spacing w:val="0"/>
          <w:sz w:val="32"/>
          <w:szCs w:val="32"/>
          <w:shd w:val="clear" w:fill="FFFFFF"/>
          <w:lang w:val="en-US" w:eastAsia="zh-CN"/>
        </w:rPr>
        <w:t>72号）</w:t>
      </w:r>
      <w:r>
        <w:rPr>
          <w:rFonts w:hint="eastAsia" w:ascii="仿宋_GB2312" w:hAnsi="仿宋_GB2312" w:cs="仿宋_GB2312"/>
          <w:color w:val="auto"/>
          <w:sz w:val="32"/>
          <w:szCs w:val="32"/>
          <w:u w:val="none"/>
          <w:lang w:val="en-US" w:eastAsia="zh-CN"/>
        </w:rPr>
        <w:t>中规定的工业项目建设用地控制指标</w:t>
      </w:r>
      <w:r>
        <w:rPr>
          <w:rFonts w:hint="eastAsia" w:ascii="仿宋_GB2312" w:hAnsi="仿宋_GB2312" w:cs="仿宋_GB2312"/>
          <w:i w:val="0"/>
          <w:caps w:val="0"/>
          <w:color w:val="auto"/>
          <w:spacing w:val="0"/>
          <w:sz w:val="32"/>
          <w:szCs w:val="32"/>
          <w:shd w:val="clear" w:fill="FFFFFF"/>
          <w:lang w:val="en-US" w:eastAsia="zh-CN"/>
        </w:rPr>
        <w:t>，以及</w:t>
      </w:r>
      <w:r>
        <w:rPr>
          <w:rFonts w:hint="eastAsia" w:ascii="仿宋_GB2312" w:hAnsi="仿宋_GB2312" w:eastAsia="仿宋_GB2312" w:cs="仿宋_GB2312"/>
          <w:color w:val="auto"/>
          <w:sz w:val="32"/>
          <w:szCs w:val="32"/>
          <w:u w:val="none"/>
          <w:lang w:val="en-US" w:eastAsia="zh-CN"/>
        </w:rPr>
        <w:t>《安徽省建设用地使用标准（2020年版）》</w:t>
      </w:r>
      <w:r>
        <w:rPr>
          <w:rFonts w:hint="eastAsia" w:ascii="仿宋_GB2312" w:hAnsi="仿宋_GB2312" w:cs="仿宋_GB2312"/>
          <w:color w:val="auto"/>
          <w:sz w:val="32"/>
          <w:szCs w:val="32"/>
          <w:u w:val="none"/>
          <w:lang w:val="en-US" w:eastAsia="zh-CN"/>
        </w:rPr>
        <w:t>指标要求。</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
          <w:color w:val="auto"/>
          <w:lang w:val="en-US" w:eastAsia="zh-CN"/>
        </w:rPr>
      </w:pPr>
      <w:r>
        <w:rPr>
          <w:rFonts w:hint="eastAsia" w:ascii="仿宋_GB2312" w:hAnsi="仿宋_GB2312" w:cs="仿宋_GB2312"/>
          <w:color w:val="auto"/>
          <w:sz w:val="32"/>
          <w:szCs w:val="32"/>
          <w:u w:val="none"/>
          <w:lang w:val="en-US" w:eastAsia="zh-CN"/>
        </w:rPr>
        <w:t>（二）</w:t>
      </w:r>
      <w:r>
        <w:rPr>
          <w:rFonts w:hint="eastAsia" w:ascii="仿宋_GB2312" w:hAnsi="仿宋_GB2312" w:eastAsia="仿宋_GB2312" w:cs="仿宋_GB2312"/>
          <w:i w:val="0"/>
          <w:caps w:val="0"/>
          <w:color w:val="auto"/>
          <w:spacing w:val="0"/>
          <w:sz w:val="32"/>
          <w:szCs w:val="32"/>
          <w:shd w:val="clear" w:fill="FFFFFF"/>
          <w:lang w:val="en-US" w:eastAsia="zh-CN"/>
        </w:rPr>
        <w:t>除特殊工艺和安全的项目用地外</w:t>
      </w:r>
      <w:r>
        <w:rPr>
          <w:rFonts w:hint="eastAsia" w:ascii="仿宋_GB2312" w:hAnsi="仿宋"/>
          <w:color w:val="auto"/>
          <w:lang w:eastAsia="zh-CN"/>
        </w:rPr>
        <w:t>，</w:t>
      </w:r>
      <w:r>
        <w:rPr>
          <w:rFonts w:hint="eastAsia" w:ascii="仿宋_GB2312" w:hAnsi="仿宋"/>
          <w:color w:val="auto"/>
          <w:lang w:val="en-US" w:eastAsia="zh-CN"/>
        </w:rPr>
        <w:t>新建工业用地</w:t>
      </w:r>
      <w:r>
        <w:rPr>
          <w:rFonts w:hint="eastAsia" w:ascii="仿宋_GB2312" w:hAnsi="仿宋"/>
          <w:color w:val="auto"/>
        </w:rPr>
        <w:t>容积率</w:t>
      </w:r>
      <w:r>
        <w:rPr>
          <w:rFonts w:hint="eastAsia" w:ascii="仿宋_GB2312" w:hAnsi="仿宋"/>
          <w:color w:val="auto"/>
          <w:lang w:eastAsia="zh-CN"/>
        </w:rPr>
        <w:t>不得低于</w:t>
      </w:r>
      <w:r>
        <w:rPr>
          <w:rFonts w:hint="eastAsia" w:ascii="仿宋_GB2312" w:hAnsi="仿宋"/>
          <w:color w:val="auto"/>
          <w:lang w:val="en-US" w:eastAsia="zh-CN"/>
        </w:rPr>
        <w:t>1.2，新建高标准厂房用地容积率不低于2.0，按工业用地管理的研发项目用地容积率不低于2.5。</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cs="仿宋_GB2312"/>
          <w:i w:val="0"/>
          <w:caps w:val="0"/>
          <w:color w:val="auto"/>
          <w:spacing w:val="0"/>
          <w:sz w:val="32"/>
          <w:szCs w:val="32"/>
          <w:shd w:val="clear" w:fill="FFFFFF"/>
          <w:lang w:val="en-US" w:eastAsia="zh-CN"/>
        </w:rPr>
      </w:pPr>
      <w:r>
        <w:rPr>
          <w:rFonts w:hint="eastAsia" w:ascii="仿宋_GB2312" w:hAnsi="仿宋"/>
          <w:color w:val="auto"/>
          <w:lang w:val="en-US" w:eastAsia="zh-CN"/>
        </w:rPr>
        <w:t>（三）在符合园区产业规划、环保和安全的前提下，在全市省级以上开发区推广池州经济技术开发区</w:t>
      </w:r>
      <w:r>
        <w:rPr>
          <w:rFonts w:hint="eastAsia" w:ascii="仿宋_GB2312" w:hAnsi="仿宋_GB2312" w:eastAsia="仿宋_GB2312" w:cs="仿宋_GB2312"/>
          <w:i w:val="0"/>
          <w:caps w:val="0"/>
          <w:color w:val="auto"/>
          <w:spacing w:val="0"/>
          <w:sz w:val="32"/>
          <w:szCs w:val="32"/>
          <w:shd w:val="clear" w:fill="FFFFFF"/>
        </w:rPr>
        <w:t>新型产业用地（M0）</w:t>
      </w:r>
      <w:r>
        <w:rPr>
          <w:rFonts w:hint="eastAsia" w:ascii="仿宋_GB2312" w:hAnsi="仿宋_GB2312" w:cs="仿宋_GB2312"/>
          <w:i w:val="0"/>
          <w:caps w:val="0"/>
          <w:color w:val="auto"/>
          <w:spacing w:val="0"/>
          <w:sz w:val="32"/>
          <w:szCs w:val="32"/>
          <w:shd w:val="clear" w:fill="FFFFFF"/>
          <w:lang w:val="en-US" w:eastAsia="zh-CN"/>
        </w:rPr>
        <w:t>模式，参照《池州经济开发区新型产业用地</w:t>
      </w:r>
      <w:r>
        <w:rPr>
          <w:rFonts w:hint="eastAsia" w:ascii="仿宋_GB2312" w:hAnsi="仿宋_GB2312" w:eastAsia="仿宋_GB2312" w:cs="仿宋_GB2312"/>
          <w:i w:val="0"/>
          <w:caps w:val="0"/>
          <w:color w:val="auto"/>
          <w:spacing w:val="0"/>
          <w:sz w:val="32"/>
          <w:szCs w:val="32"/>
          <w:shd w:val="clear" w:fill="FFFFFF"/>
        </w:rPr>
        <w:t>（M0）</w:t>
      </w:r>
      <w:r>
        <w:rPr>
          <w:rFonts w:hint="eastAsia" w:ascii="仿宋_GB2312" w:hAnsi="仿宋_GB2312" w:cs="仿宋_GB2312"/>
          <w:i w:val="0"/>
          <w:caps w:val="0"/>
          <w:color w:val="auto"/>
          <w:spacing w:val="0"/>
          <w:sz w:val="32"/>
          <w:szCs w:val="32"/>
          <w:shd w:val="clear" w:fill="FFFFFF"/>
          <w:lang w:val="en-US" w:eastAsia="zh-CN"/>
        </w:rPr>
        <w:t>试点办法》（池发改地区</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cs="仿宋_GB2312"/>
          <w:i w:val="0"/>
          <w:caps w:val="0"/>
          <w:color w:val="auto"/>
          <w:spacing w:val="0"/>
          <w:sz w:val="32"/>
          <w:szCs w:val="32"/>
          <w:shd w:val="clear" w:fill="FFFFFF"/>
          <w:lang w:val="en-US" w:eastAsia="zh-CN"/>
        </w:rPr>
        <w:t>2022</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cs="仿宋_GB2312"/>
          <w:i w:val="0"/>
          <w:caps w:val="0"/>
          <w:color w:val="auto"/>
          <w:spacing w:val="0"/>
          <w:sz w:val="32"/>
          <w:szCs w:val="32"/>
          <w:shd w:val="clear" w:fill="FFFFFF"/>
          <w:lang w:val="en-US" w:eastAsia="zh-CN"/>
        </w:rPr>
        <w:t>226号）执行，</w:t>
      </w:r>
      <w:r>
        <w:rPr>
          <w:rFonts w:hint="eastAsia" w:ascii="仿宋_GB2312" w:hAnsi="仿宋"/>
          <w:color w:val="auto"/>
          <w:lang w:val="en-US" w:eastAsia="zh-CN"/>
        </w:rPr>
        <w:t>容积率提升至不低于2.5</w:t>
      </w:r>
      <w:r>
        <w:rPr>
          <w:rFonts w:hint="eastAsia" w:ascii="仿宋_GB2312" w:hAnsi="仿宋_GB2312" w:cs="仿宋_GB2312"/>
          <w:i w:val="0"/>
          <w:caps w:val="0"/>
          <w:color w:val="auto"/>
          <w:spacing w:val="0"/>
          <w:sz w:val="32"/>
          <w:szCs w:val="32"/>
          <w:shd w:val="clear" w:fill="FFFFFF"/>
          <w:lang w:val="en-US" w:eastAsia="zh-CN"/>
        </w:rPr>
        <w:t>。</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cs="仿宋_GB2312"/>
          <w:i w:val="0"/>
          <w:caps w:val="0"/>
          <w:color w:val="auto"/>
          <w:spacing w:val="0"/>
          <w:sz w:val="32"/>
          <w:szCs w:val="32"/>
          <w:shd w:val="clear" w:fill="FFFFFF"/>
          <w:lang w:val="en-US" w:eastAsia="zh-CN"/>
        </w:rPr>
      </w:pPr>
      <w:r>
        <w:rPr>
          <w:rFonts w:hint="eastAsia" w:ascii="仿宋_GB2312" w:hAnsi="仿宋_GB2312" w:cs="仿宋_GB2312"/>
          <w:i w:val="0"/>
          <w:caps w:val="0"/>
          <w:color w:val="auto"/>
          <w:spacing w:val="0"/>
          <w:sz w:val="32"/>
          <w:szCs w:val="32"/>
          <w:shd w:val="clear" w:fill="FFFFFF"/>
          <w:lang w:val="en-US" w:eastAsia="zh-CN"/>
        </w:rPr>
        <w:t>（四）根据我市六大园区主导产业实际，省级以上开发区（除东至经济技术开发区外）主导产业的工业用地，按照《省级以上开发园区主导产业用地容积率提升表》（附件）要求，全面提升容积率指标。东至县要根据化工项目的工艺和安全环保等因素实际，对照国内化工项目先进水平，指导提升东至经济技术开发区（化工园区）工业用地容积率水平。</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黑体" w:eastAsia="黑体"/>
          <w:color w:val="FF0000"/>
          <w:lang w:eastAsia="zh-CN"/>
        </w:rPr>
      </w:pPr>
      <w:r>
        <w:rPr>
          <w:rFonts w:hint="eastAsia" w:ascii="黑体" w:eastAsia="黑体" w:cs="黑体"/>
          <w:color w:val="auto"/>
          <w:lang w:val="en-US" w:eastAsia="zh-CN"/>
        </w:rPr>
        <w:t>三</w:t>
      </w:r>
      <w:r>
        <w:rPr>
          <w:rFonts w:hint="eastAsia" w:ascii="黑体" w:eastAsia="黑体" w:cs="黑体"/>
          <w:color w:val="auto"/>
        </w:rPr>
        <w:t>、</w:t>
      </w:r>
      <w:r>
        <w:rPr>
          <w:rFonts w:hint="eastAsia" w:ascii="黑体" w:eastAsia="黑体" w:cs="黑体"/>
          <w:color w:val="auto"/>
          <w:lang w:val="en-US" w:eastAsia="zh-CN"/>
        </w:rPr>
        <w:t>加强</w:t>
      </w:r>
      <w:r>
        <w:rPr>
          <w:rFonts w:hint="eastAsia" w:ascii="黑体" w:eastAsia="黑体" w:cs="黑体"/>
          <w:color w:val="auto"/>
        </w:rPr>
        <w:t>扶持政策</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一</w:t>
      </w:r>
      <w:r>
        <w:rPr>
          <w:rFonts w:hint="eastAsia" w:ascii="仿宋_GB2312" w:hAnsi="仿宋_GB2312" w:eastAsia="仿宋_GB2312" w:cs="仿宋_GB2312"/>
          <w:color w:val="auto"/>
          <w:lang w:eastAsia="zh-CN"/>
        </w:rPr>
        <w:t>）</w:t>
      </w:r>
      <w:r>
        <w:rPr>
          <w:rFonts w:hint="eastAsia" w:ascii="仿宋_GB2312" w:hAnsi="仿宋_GB2312" w:eastAsia="仿宋_GB2312" w:cs="仿宋_GB2312"/>
          <w:b w:val="0"/>
          <w:color w:val="auto"/>
          <w:sz w:val="32"/>
          <w:szCs w:val="32"/>
          <w:highlight w:val="none"/>
          <w:lang w:val="en-US" w:eastAsia="zh-CN"/>
        </w:rPr>
        <w:t>鼓励工业企业在现有用地上进行改扩建或拆旧建新，</w:t>
      </w:r>
      <w:r>
        <w:rPr>
          <w:rFonts w:hint="eastAsia" w:ascii="仿宋_GB2312" w:hAnsi="仿宋_GB2312" w:cs="仿宋_GB2312"/>
          <w:b w:val="0"/>
          <w:color w:val="auto"/>
          <w:sz w:val="32"/>
          <w:szCs w:val="32"/>
          <w:highlight w:val="none"/>
          <w:lang w:val="en-US" w:eastAsia="zh-CN"/>
        </w:rPr>
        <w:t>促进产业更新、提容增效，</w:t>
      </w:r>
      <w:r>
        <w:rPr>
          <w:rFonts w:hint="eastAsia" w:ascii="仿宋_GB2312" w:hAnsi="仿宋_GB2312" w:eastAsia="仿宋_GB2312" w:cs="仿宋_GB2312"/>
          <w:b w:val="0"/>
          <w:color w:val="auto"/>
          <w:sz w:val="32"/>
          <w:szCs w:val="32"/>
          <w:highlight w:val="none"/>
          <w:lang w:val="en-US" w:eastAsia="zh-CN"/>
        </w:rPr>
        <w:t>超出原批准</w:t>
      </w:r>
      <w:r>
        <w:rPr>
          <w:rFonts w:hint="eastAsia" w:ascii="仿宋_GB2312" w:hAnsi="仿宋_GB2312" w:cs="仿宋_GB2312"/>
          <w:b w:val="0"/>
          <w:color w:val="auto"/>
          <w:sz w:val="32"/>
          <w:szCs w:val="32"/>
          <w:highlight w:val="none"/>
          <w:lang w:val="en-US" w:eastAsia="zh-CN"/>
        </w:rPr>
        <w:t>总</w:t>
      </w:r>
      <w:r>
        <w:rPr>
          <w:rFonts w:hint="eastAsia" w:ascii="仿宋_GB2312" w:hAnsi="仿宋_GB2312" w:eastAsia="仿宋_GB2312" w:cs="仿宋_GB2312"/>
          <w:b w:val="0"/>
          <w:color w:val="auto"/>
          <w:sz w:val="32"/>
          <w:szCs w:val="32"/>
          <w:highlight w:val="none"/>
          <w:lang w:val="en-US" w:eastAsia="zh-CN"/>
        </w:rPr>
        <w:t>计容建筑面积的</w:t>
      </w:r>
      <w:r>
        <w:rPr>
          <w:rFonts w:hint="eastAsia" w:ascii="仿宋_GB2312" w:hAnsi="仿宋_GB2312" w:cs="仿宋_GB2312"/>
          <w:b w:val="0"/>
          <w:color w:val="auto"/>
          <w:sz w:val="32"/>
          <w:szCs w:val="32"/>
          <w:highlight w:val="none"/>
          <w:lang w:val="en-US" w:eastAsia="zh-CN"/>
        </w:rPr>
        <w:t>部分</w:t>
      </w:r>
      <w:r>
        <w:rPr>
          <w:rFonts w:hint="eastAsia" w:ascii="仿宋_GB2312" w:hAnsi="仿宋_GB2312" w:eastAsia="仿宋_GB2312" w:cs="仿宋_GB2312"/>
          <w:b w:val="0"/>
          <w:color w:val="auto"/>
          <w:sz w:val="32"/>
          <w:szCs w:val="32"/>
          <w:highlight w:val="none"/>
          <w:lang w:val="en-US" w:eastAsia="zh-CN"/>
        </w:rPr>
        <w:t>，不增收土地</w:t>
      </w:r>
      <w:r>
        <w:rPr>
          <w:rFonts w:hint="eastAsia" w:ascii="仿宋_GB2312" w:hAnsi="仿宋_GB2312" w:cs="仿宋_GB2312"/>
          <w:b w:val="0"/>
          <w:color w:val="auto"/>
          <w:sz w:val="32"/>
          <w:szCs w:val="32"/>
          <w:highlight w:val="none"/>
          <w:lang w:val="en-US" w:eastAsia="zh-CN"/>
        </w:rPr>
        <w:t>出让</w:t>
      </w:r>
      <w:r>
        <w:rPr>
          <w:rFonts w:hint="eastAsia" w:ascii="仿宋_GB2312" w:hAnsi="仿宋_GB2312" w:eastAsia="仿宋_GB2312" w:cs="仿宋_GB2312"/>
          <w:b w:val="0"/>
          <w:color w:val="auto"/>
          <w:sz w:val="32"/>
          <w:szCs w:val="32"/>
          <w:highlight w:val="none"/>
          <w:lang w:val="en-US" w:eastAsia="zh-CN"/>
        </w:rPr>
        <w:t>价款</w:t>
      </w:r>
      <w:r>
        <w:rPr>
          <w:rFonts w:hint="eastAsia" w:ascii="仿宋_GB2312" w:hAnsi="仿宋_GB2312" w:cs="仿宋_GB2312"/>
          <w:b w:val="0"/>
          <w:color w:val="auto"/>
          <w:sz w:val="32"/>
          <w:szCs w:val="32"/>
          <w:highlight w:val="none"/>
          <w:lang w:val="en-US" w:eastAsia="zh-CN"/>
        </w:rPr>
        <w:t>，并</w:t>
      </w:r>
      <w:r>
        <w:rPr>
          <w:rFonts w:hint="eastAsia" w:ascii="仿宋_GB2312" w:hAnsi="仿宋_GB2312" w:eastAsia="仿宋_GB2312" w:cs="仿宋_GB2312"/>
          <w:b w:val="0"/>
          <w:color w:val="auto"/>
          <w:sz w:val="32"/>
          <w:szCs w:val="32"/>
          <w:highlight w:val="none"/>
          <w:lang w:val="en-US" w:eastAsia="zh-CN"/>
        </w:rPr>
        <w:t>免征城市基础设施配套费。</w:t>
      </w:r>
      <w:r>
        <w:rPr>
          <w:rFonts w:hint="eastAsia" w:ascii="仿宋_GB2312" w:hAnsi="仿宋_GB2312" w:cs="仿宋_GB2312"/>
          <w:b w:val="0"/>
          <w:color w:val="auto"/>
          <w:sz w:val="32"/>
          <w:szCs w:val="32"/>
          <w:highlight w:val="none"/>
          <w:lang w:val="en-US" w:eastAsia="zh-CN"/>
        </w:rPr>
        <w:t>对超出</w:t>
      </w:r>
      <w:r>
        <w:rPr>
          <w:rFonts w:hint="eastAsia" w:ascii="仿宋_GB2312" w:hAnsi="仿宋_GB2312" w:eastAsia="仿宋_GB2312" w:cs="仿宋_GB2312"/>
          <w:b w:val="0"/>
          <w:color w:val="auto"/>
          <w:sz w:val="32"/>
          <w:szCs w:val="32"/>
          <w:highlight w:val="none"/>
          <w:lang w:val="en-US" w:eastAsia="zh-CN"/>
        </w:rPr>
        <w:t>超出原批准</w:t>
      </w:r>
      <w:r>
        <w:rPr>
          <w:rFonts w:hint="eastAsia" w:ascii="仿宋_GB2312" w:hAnsi="仿宋_GB2312" w:cs="仿宋_GB2312"/>
          <w:b w:val="0"/>
          <w:color w:val="auto"/>
          <w:sz w:val="32"/>
          <w:szCs w:val="32"/>
          <w:highlight w:val="none"/>
          <w:lang w:val="en-US" w:eastAsia="zh-CN"/>
        </w:rPr>
        <w:t>总</w:t>
      </w:r>
      <w:r>
        <w:rPr>
          <w:rFonts w:hint="eastAsia" w:ascii="仿宋_GB2312" w:hAnsi="仿宋_GB2312" w:eastAsia="仿宋_GB2312" w:cs="仿宋_GB2312"/>
          <w:b w:val="0"/>
          <w:color w:val="auto"/>
          <w:sz w:val="32"/>
          <w:szCs w:val="32"/>
          <w:highlight w:val="none"/>
          <w:lang w:val="en-US" w:eastAsia="zh-CN"/>
        </w:rPr>
        <w:t>计容建筑面积的</w:t>
      </w:r>
      <w:r>
        <w:rPr>
          <w:rFonts w:hint="eastAsia" w:ascii="仿宋_GB2312" w:hAnsi="仿宋_GB2312" w:cs="仿宋_GB2312"/>
          <w:b w:val="0"/>
          <w:color w:val="auto"/>
          <w:sz w:val="32"/>
          <w:szCs w:val="32"/>
          <w:highlight w:val="none"/>
          <w:lang w:val="en-US" w:eastAsia="zh-CN"/>
        </w:rPr>
        <w:t>部分，鼓励各地给予扶持奖励。</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color w:val="auto"/>
          <w:sz w:val="32"/>
          <w:szCs w:val="32"/>
          <w:highlight w:val="none"/>
          <w:lang w:val="en-US" w:eastAsia="zh-CN"/>
        </w:rPr>
      </w:pP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二</w:t>
      </w:r>
      <w:r>
        <w:rPr>
          <w:rFonts w:hint="eastAsia" w:ascii="仿宋_GB2312" w:hAnsi="仿宋_GB2312" w:eastAsia="仿宋_GB2312" w:cs="仿宋_GB2312"/>
          <w:color w:val="auto"/>
          <w:lang w:eastAsia="zh-CN"/>
        </w:rPr>
        <w:t>）</w:t>
      </w:r>
      <w:r>
        <w:rPr>
          <w:rFonts w:hint="eastAsia" w:ascii="仿宋_GB2312" w:hAnsi="仿宋_GB2312" w:eastAsia="仿宋_GB2312" w:cs="仿宋_GB2312"/>
          <w:b w:val="0"/>
          <w:color w:val="auto"/>
          <w:sz w:val="32"/>
          <w:szCs w:val="32"/>
          <w:highlight w:val="none"/>
          <w:lang w:val="en-US" w:eastAsia="zh-CN"/>
        </w:rPr>
        <w:t>在</w:t>
      </w:r>
      <w:r>
        <w:rPr>
          <w:rFonts w:hint="eastAsia" w:ascii="仿宋_GB2312" w:hAnsi="仿宋_GB2312" w:cs="仿宋_GB2312"/>
          <w:b w:val="0"/>
          <w:color w:val="auto"/>
          <w:sz w:val="32"/>
          <w:szCs w:val="32"/>
          <w:highlight w:val="none"/>
          <w:lang w:val="en-US" w:eastAsia="zh-CN"/>
        </w:rPr>
        <w:t>符合</w:t>
      </w:r>
      <w:r>
        <w:rPr>
          <w:rFonts w:hint="eastAsia" w:ascii="仿宋_GB2312" w:hAnsi="仿宋_GB2312" w:eastAsia="仿宋_GB2312" w:cs="仿宋_GB2312"/>
          <w:b w:val="0"/>
          <w:color w:val="auto"/>
          <w:sz w:val="32"/>
          <w:szCs w:val="32"/>
          <w:highlight w:val="none"/>
          <w:lang w:val="en-US" w:eastAsia="zh-CN"/>
        </w:rPr>
        <w:t>国土空间规划、</w:t>
      </w:r>
      <w:r>
        <w:rPr>
          <w:rFonts w:hint="eastAsia" w:ascii="仿宋_GB2312" w:hAnsi="仿宋_GB2312" w:cs="仿宋_GB2312"/>
          <w:b w:val="0"/>
          <w:color w:val="auto"/>
          <w:sz w:val="32"/>
          <w:szCs w:val="32"/>
          <w:highlight w:val="none"/>
          <w:lang w:val="en-US" w:eastAsia="zh-CN"/>
        </w:rPr>
        <w:t>满足</w:t>
      </w:r>
      <w:r>
        <w:rPr>
          <w:rFonts w:hint="eastAsia" w:ascii="仿宋_GB2312" w:hAnsi="仿宋_GB2312" w:eastAsia="仿宋_GB2312" w:cs="仿宋_GB2312"/>
          <w:b w:val="0"/>
          <w:color w:val="auto"/>
          <w:sz w:val="32"/>
          <w:szCs w:val="32"/>
          <w:highlight w:val="none"/>
          <w:lang w:val="en-US" w:eastAsia="zh-CN"/>
        </w:rPr>
        <w:t>安全生产</w:t>
      </w:r>
      <w:r>
        <w:rPr>
          <w:rFonts w:hint="eastAsia" w:ascii="仿宋_GB2312" w:hAnsi="仿宋_GB2312" w:cs="仿宋_GB2312"/>
          <w:b w:val="0"/>
          <w:color w:val="auto"/>
          <w:sz w:val="32"/>
          <w:szCs w:val="32"/>
          <w:highlight w:val="none"/>
          <w:lang w:val="en-US" w:eastAsia="zh-CN"/>
        </w:rPr>
        <w:t>等要求、</w:t>
      </w:r>
      <w:r>
        <w:rPr>
          <w:rFonts w:hint="eastAsia" w:ascii="仿宋_GB2312" w:hAnsi="仿宋_GB2312" w:eastAsia="仿宋_GB2312" w:cs="仿宋_GB2312"/>
          <w:b w:val="0"/>
          <w:color w:val="auto"/>
          <w:sz w:val="32"/>
          <w:szCs w:val="32"/>
          <w:highlight w:val="none"/>
          <w:lang w:val="en-US" w:eastAsia="zh-CN"/>
        </w:rPr>
        <w:t>不改变工业用途的</w:t>
      </w:r>
      <w:r>
        <w:rPr>
          <w:rFonts w:hint="eastAsia" w:ascii="仿宋_GB2312" w:hAnsi="仿宋_GB2312" w:cs="仿宋_GB2312"/>
          <w:b w:val="0"/>
          <w:color w:val="auto"/>
          <w:sz w:val="32"/>
          <w:szCs w:val="32"/>
          <w:highlight w:val="none"/>
          <w:lang w:val="en-US" w:eastAsia="zh-CN"/>
        </w:rPr>
        <w:t>前提</w:t>
      </w:r>
      <w:r>
        <w:rPr>
          <w:rFonts w:hint="eastAsia" w:ascii="仿宋_GB2312" w:hAnsi="仿宋_GB2312" w:eastAsia="仿宋_GB2312" w:cs="仿宋_GB2312"/>
          <w:b w:val="0"/>
          <w:color w:val="auto"/>
          <w:sz w:val="32"/>
          <w:szCs w:val="32"/>
          <w:highlight w:val="none"/>
          <w:lang w:val="en-US" w:eastAsia="zh-CN"/>
        </w:rPr>
        <w:t>下，存量工业用地采取增加建筑密度、建设多层厂房、减少绿地布置等方式进行拓展</w:t>
      </w:r>
      <w:r>
        <w:rPr>
          <w:rFonts w:hint="eastAsia" w:ascii="仿宋_GB2312" w:hAnsi="仿宋_GB2312" w:cs="仿宋_GB2312"/>
          <w:b w:val="0"/>
          <w:color w:val="auto"/>
          <w:sz w:val="32"/>
          <w:szCs w:val="32"/>
          <w:highlight w:val="none"/>
          <w:lang w:val="en-US" w:eastAsia="zh-CN"/>
        </w:rPr>
        <w:t>用地空间的</w:t>
      </w:r>
      <w:r>
        <w:rPr>
          <w:rFonts w:hint="eastAsia" w:ascii="仿宋_GB2312" w:hAnsi="仿宋_GB2312" w:eastAsia="仿宋_GB2312" w:cs="仿宋_GB2312"/>
          <w:b w:val="0"/>
          <w:color w:val="auto"/>
          <w:sz w:val="32"/>
          <w:szCs w:val="32"/>
          <w:highlight w:val="none"/>
          <w:lang w:val="en-US" w:eastAsia="zh-CN"/>
        </w:rPr>
        <w:t>，可适度提高配套行政办公及生活服务设施建筑面积所占比重，</w:t>
      </w:r>
      <w:r>
        <w:rPr>
          <w:rFonts w:hint="eastAsia" w:ascii="仿宋_GB2312" w:hAnsi="仿宋_GB2312" w:cs="仿宋_GB2312"/>
          <w:b w:val="0"/>
          <w:color w:val="auto"/>
          <w:sz w:val="32"/>
          <w:szCs w:val="32"/>
          <w:highlight w:val="none"/>
          <w:lang w:val="en-US" w:eastAsia="zh-CN"/>
        </w:rPr>
        <w:t>允许</w:t>
      </w:r>
      <w:r>
        <w:rPr>
          <w:rFonts w:hint="eastAsia" w:ascii="仿宋_GB2312" w:hAnsi="仿宋_GB2312" w:eastAsia="仿宋_GB2312" w:cs="仿宋_GB2312"/>
          <w:b w:val="0"/>
          <w:color w:val="auto"/>
          <w:sz w:val="32"/>
          <w:szCs w:val="32"/>
          <w:highlight w:val="none"/>
          <w:lang w:val="en-US" w:eastAsia="zh-CN"/>
        </w:rPr>
        <w:t>具备独立分宗条件的节余土地</w:t>
      </w:r>
      <w:r>
        <w:rPr>
          <w:rFonts w:hint="eastAsia" w:ascii="仿宋_GB2312" w:hAnsi="仿宋_GB2312" w:cs="仿宋_GB2312"/>
          <w:b w:val="0"/>
          <w:color w:val="auto"/>
          <w:sz w:val="32"/>
          <w:szCs w:val="32"/>
          <w:highlight w:val="none"/>
          <w:lang w:val="en-US" w:eastAsia="zh-CN"/>
        </w:rPr>
        <w:t>依法批准后</w:t>
      </w:r>
      <w:r>
        <w:rPr>
          <w:rFonts w:hint="eastAsia" w:ascii="仿宋_GB2312" w:hAnsi="仿宋_GB2312" w:eastAsia="仿宋_GB2312" w:cs="仿宋_GB2312"/>
          <w:b w:val="0"/>
          <w:color w:val="auto"/>
          <w:sz w:val="32"/>
          <w:szCs w:val="32"/>
          <w:highlight w:val="none"/>
          <w:lang w:val="en-US" w:eastAsia="zh-CN"/>
        </w:rPr>
        <w:t>带条件分割转让</w:t>
      </w:r>
      <w:r>
        <w:rPr>
          <w:rFonts w:hint="eastAsia" w:ascii="仿宋_GB2312" w:hAnsi="仿宋_GB2312" w:cs="仿宋_GB2312"/>
          <w:b w:val="0"/>
          <w:color w:val="auto"/>
          <w:sz w:val="32"/>
          <w:szCs w:val="32"/>
          <w:highlight w:val="none"/>
          <w:lang w:val="en-US" w:eastAsia="zh-CN"/>
        </w:rPr>
        <w:t>，提高容积率的部分不再增收土地出让价款</w:t>
      </w:r>
      <w:r>
        <w:rPr>
          <w:rFonts w:hint="eastAsia" w:ascii="仿宋_GB2312" w:hAnsi="仿宋_GB2312" w:eastAsia="仿宋_GB2312" w:cs="仿宋_GB2312"/>
          <w:b w:val="0"/>
          <w:color w:val="auto"/>
          <w:sz w:val="32"/>
          <w:szCs w:val="32"/>
          <w:highlight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b w:val="0"/>
          <w:color w:val="auto"/>
          <w:sz w:val="32"/>
          <w:szCs w:val="32"/>
          <w:highlight w:val="none"/>
          <w:lang w:val="en-US" w:eastAsia="zh-CN"/>
        </w:rPr>
      </w:pP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三</w:t>
      </w:r>
      <w:r>
        <w:rPr>
          <w:rFonts w:hint="eastAsia" w:ascii="仿宋_GB2312" w:hAnsi="仿宋_GB2312" w:eastAsia="仿宋_GB2312" w:cs="仿宋_GB2312"/>
          <w:color w:val="auto"/>
          <w:lang w:eastAsia="zh-CN"/>
        </w:rPr>
        <w:t>）</w:t>
      </w:r>
      <w:r>
        <w:rPr>
          <w:rFonts w:hint="eastAsia" w:ascii="仿宋_GB2312" w:hAnsi="仿宋_GB2312" w:cs="仿宋_GB2312"/>
          <w:b w:val="0"/>
          <w:color w:val="auto"/>
          <w:sz w:val="32"/>
          <w:szCs w:val="32"/>
          <w:highlight w:val="none"/>
          <w:lang w:val="en-US" w:eastAsia="zh-CN"/>
        </w:rPr>
        <w:t>鼓励工业企业建设使用4层及以上配工业电梯、容积率不低于2.0的高标准厂房，各地在准入、租金、规划建设、配套服务等方面给予倾斜支持和奖励。</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b w:val="0"/>
          <w:color w:val="auto"/>
          <w:sz w:val="32"/>
          <w:szCs w:val="32"/>
          <w:highlight w:val="none"/>
          <w:lang w:val="en-US" w:eastAsia="zh-CN"/>
        </w:rPr>
      </w:pPr>
      <w:r>
        <w:rPr>
          <w:rFonts w:hint="eastAsia" w:ascii="仿宋_GB2312" w:hAnsi="仿宋_GB2312" w:cs="仿宋_GB2312"/>
          <w:b w:val="0"/>
          <w:color w:val="auto"/>
          <w:sz w:val="32"/>
          <w:szCs w:val="32"/>
          <w:highlight w:val="none"/>
          <w:lang w:val="en-US" w:eastAsia="zh-CN"/>
        </w:rPr>
        <w:t>（四）单独使用的工业用地，鼓励企业建设2层及以上多层厂房。</w:t>
      </w:r>
      <w:r>
        <w:rPr>
          <w:rFonts w:hint="eastAsia" w:ascii="仿宋_GB2312" w:hAnsi="仿宋"/>
          <w:color w:val="auto"/>
          <w:lang w:val="en-US" w:eastAsia="zh-CN"/>
        </w:rPr>
        <w:t>按工业用地管理的研发项目，鼓励</w:t>
      </w:r>
      <w:r>
        <w:rPr>
          <w:rFonts w:hint="eastAsia" w:ascii="仿宋_GB2312" w:hAnsi="仿宋_GB2312" w:cs="仿宋_GB2312"/>
          <w:b w:val="0"/>
          <w:color w:val="auto"/>
          <w:sz w:val="32"/>
          <w:szCs w:val="32"/>
          <w:highlight w:val="none"/>
          <w:lang w:val="en-US" w:eastAsia="zh-CN"/>
        </w:rPr>
        <w:t>企业建设高层工业楼宇，将研发等生产功能与</w:t>
      </w:r>
      <w:r>
        <w:rPr>
          <w:rFonts w:hint="eastAsia" w:ascii="仿宋_GB2312" w:hAnsi="仿宋_GB2312" w:eastAsia="仿宋_GB2312" w:cs="仿宋_GB2312"/>
          <w:b w:val="0"/>
          <w:color w:val="auto"/>
          <w:sz w:val="32"/>
          <w:szCs w:val="32"/>
          <w:highlight w:val="none"/>
          <w:lang w:val="en-US" w:eastAsia="zh-CN"/>
        </w:rPr>
        <w:t>行政办公</w:t>
      </w:r>
      <w:r>
        <w:rPr>
          <w:rFonts w:hint="eastAsia" w:ascii="仿宋_GB2312" w:hAnsi="仿宋_GB2312" w:cs="仿宋_GB2312"/>
          <w:b w:val="0"/>
          <w:color w:val="auto"/>
          <w:sz w:val="32"/>
          <w:szCs w:val="32"/>
          <w:highlight w:val="none"/>
          <w:lang w:val="en-US" w:eastAsia="zh-CN"/>
        </w:rPr>
        <w:t>、</w:t>
      </w:r>
      <w:r>
        <w:rPr>
          <w:rFonts w:hint="eastAsia" w:ascii="仿宋_GB2312" w:hAnsi="仿宋_GB2312" w:eastAsia="仿宋_GB2312" w:cs="仿宋_GB2312"/>
          <w:b w:val="0"/>
          <w:color w:val="auto"/>
          <w:sz w:val="32"/>
          <w:szCs w:val="32"/>
          <w:highlight w:val="none"/>
          <w:lang w:val="en-US" w:eastAsia="zh-CN"/>
        </w:rPr>
        <w:t>生活服务</w:t>
      </w:r>
      <w:r>
        <w:rPr>
          <w:rFonts w:hint="eastAsia" w:ascii="仿宋_GB2312" w:hAnsi="仿宋_GB2312" w:cs="仿宋_GB2312"/>
          <w:b w:val="0"/>
          <w:color w:val="auto"/>
          <w:sz w:val="32"/>
          <w:szCs w:val="32"/>
          <w:highlight w:val="none"/>
          <w:lang w:val="en-US" w:eastAsia="zh-CN"/>
        </w:rPr>
        <w:t>功能同楼规划和建设使用。各地可结合实际，给予扶持奖励。</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黑体" w:eastAsia="黑体"/>
          <w:color w:val="auto"/>
          <w:lang w:val="en-US"/>
        </w:rPr>
      </w:pPr>
      <w:r>
        <w:rPr>
          <w:rFonts w:hint="eastAsia" w:ascii="黑体" w:eastAsia="黑体" w:cs="黑体"/>
          <w:color w:val="auto"/>
          <w:lang w:val="en-US" w:eastAsia="zh-CN"/>
        </w:rPr>
        <w:t>四</w:t>
      </w:r>
      <w:r>
        <w:rPr>
          <w:rFonts w:hint="eastAsia" w:ascii="黑体" w:eastAsia="黑体" w:cs="黑体"/>
          <w:color w:val="auto"/>
        </w:rPr>
        <w:t>、</w:t>
      </w:r>
      <w:r>
        <w:rPr>
          <w:rFonts w:hint="eastAsia" w:ascii="黑体" w:eastAsia="黑体" w:cs="黑体"/>
          <w:color w:val="auto"/>
          <w:lang w:val="en-US" w:eastAsia="zh-CN"/>
        </w:rPr>
        <w:t>落实监管措施</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楷体_GB2312" w:eastAsia="仿宋_GB2312" w:cs="楷体_GB2312"/>
          <w:color w:val="auto"/>
          <w:lang w:val="en-US" w:eastAsia="zh-CN"/>
        </w:rPr>
      </w:pPr>
      <w:r>
        <w:rPr>
          <w:rFonts w:hint="eastAsia" w:ascii="楷体_GB2312" w:eastAsia="楷体_GB2312" w:cs="楷体_GB2312"/>
          <w:color w:val="auto"/>
        </w:rPr>
        <w:t>（一）</w:t>
      </w:r>
      <w:r>
        <w:rPr>
          <w:rFonts w:hint="eastAsia" w:ascii="楷体_GB2312" w:eastAsia="楷体_GB2312" w:cs="楷体_GB2312"/>
          <w:color w:val="auto"/>
          <w:lang w:val="en-US" w:eastAsia="zh-CN"/>
        </w:rPr>
        <w:t>严把新增工业项目土地供应关口</w:t>
      </w:r>
      <w:r>
        <w:rPr>
          <w:rFonts w:hint="eastAsia" w:ascii="楷体_GB2312" w:eastAsia="楷体_GB2312" w:cs="楷体_GB2312"/>
          <w:color w:val="auto"/>
        </w:rPr>
        <w:t>。</w:t>
      </w:r>
      <w:r>
        <w:rPr>
          <w:rFonts w:hint="eastAsia" w:ascii="仿宋_GB2312" w:hAnsi="仿宋_GB2312" w:cs="仿宋_GB2312"/>
          <w:b w:val="0"/>
          <w:color w:val="auto"/>
          <w:sz w:val="32"/>
          <w:szCs w:val="32"/>
          <w:highlight w:val="none"/>
          <w:lang w:val="en-US" w:eastAsia="zh-CN"/>
        </w:rPr>
        <w:t>各地在供应新建工业用地时，一是要严格按照《安徽省人民政府关于进一步强化土地节约集约利用工作的意见》（皖政</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cs="仿宋_GB2312"/>
          <w:i w:val="0"/>
          <w:caps w:val="0"/>
          <w:color w:val="auto"/>
          <w:spacing w:val="0"/>
          <w:sz w:val="32"/>
          <w:szCs w:val="32"/>
          <w:shd w:val="clear" w:fill="FFFFFF"/>
          <w:lang w:val="en-US" w:eastAsia="zh-CN"/>
        </w:rPr>
        <w:t>2013</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cs="仿宋_GB2312"/>
          <w:i w:val="0"/>
          <w:caps w:val="0"/>
          <w:color w:val="auto"/>
          <w:spacing w:val="0"/>
          <w:sz w:val="32"/>
          <w:szCs w:val="32"/>
          <w:shd w:val="clear" w:fill="FFFFFF"/>
          <w:lang w:val="en-US" w:eastAsia="zh-CN"/>
        </w:rPr>
        <w:t>58号</w:t>
      </w:r>
      <w:r>
        <w:rPr>
          <w:rFonts w:hint="eastAsia" w:ascii="仿宋_GB2312" w:hAnsi="仿宋_GB2312" w:cs="仿宋_GB2312"/>
          <w:b w:val="0"/>
          <w:color w:val="auto"/>
          <w:sz w:val="32"/>
          <w:szCs w:val="32"/>
          <w:highlight w:val="none"/>
          <w:lang w:val="en-US" w:eastAsia="zh-CN"/>
        </w:rPr>
        <w:t>）和《</w:t>
      </w:r>
      <w:r>
        <w:rPr>
          <w:rFonts w:hint="eastAsia" w:ascii="仿宋_GB2312" w:hAnsi="仿宋_GB2312" w:eastAsia="仿宋_GB2312" w:cs="仿宋_GB2312"/>
          <w:color w:val="auto"/>
          <w:sz w:val="32"/>
          <w:szCs w:val="32"/>
          <w:u w:val="none"/>
          <w:lang w:val="en-US" w:eastAsia="zh-CN"/>
        </w:rPr>
        <w:t>安徽省建设用地使用标准（2020年版）</w:t>
      </w:r>
      <w:r>
        <w:rPr>
          <w:rFonts w:hint="eastAsia" w:ascii="仿宋_GB2312" w:hAnsi="仿宋_GB2312" w:cs="仿宋_GB2312"/>
          <w:b w:val="0"/>
          <w:color w:val="auto"/>
          <w:sz w:val="32"/>
          <w:szCs w:val="32"/>
          <w:highlight w:val="none"/>
          <w:lang w:val="en-US" w:eastAsia="zh-CN"/>
        </w:rPr>
        <w:t>》规定的投资强度和用地规模进行审查，</w:t>
      </w:r>
      <w:r>
        <w:rPr>
          <w:rFonts w:hint="eastAsia" w:ascii="仿宋_GB2312" w:hAnsi="仿宋_GB2312" w:cs="仿宋_GB2312"/>
          <w:color w:val="auto"/>
          <w:sz w:val="32"/>
          <w:szCs w:val="32"/>
          <w:u w:val="none"/>
          <w:lang w:val="en-US" w:eastAsia="zh-CN"/>
        </w:rPr>
        <w:t>不符合标准的，按规定核减项目用地面积或不予供地</w:t>
      </w:r>
      <w:r>
        <w:rPr>
          <w:rFonts w:hint="eastAsia" w:ascii="仿宋_GB2312" w:hAnsi="仿宋_GB2312" w:cs="仿宋_GB2312"/>
          <w:b w:val="0"/>
          <w:color w:val="auto"/>
          <w:sz w:val="32"/>
          <w:szCs w:val="32"/>
          <w:highlight w:val="none"/>
          <w:lang w:val="en-US" w:eastAsia="zh-CN"/>
        </w:rPr>
        <w:t>。二是严格容积率审查，工业用地容积率不得低于国家标准，开发园区主导产业不得低于提升标准。单独供地的新建工业项目，要区分不同行业，优化工厂设计，由项目申报单位作出用地容积率说明，作为</w:t>
      </w:r>
      <w:r>
        <w:rPr>
          <w:rFonts w:hint="eastAsia" w:ascii="仿宋_GB2312" w:hAnsi="仿宋_GB2312" w:eastAsia="仿宋_GB2312" w:cs="仿宋_GB2312"/>
          <w:i w:val="0"/>
          <w:caps w:val="0"/>
          <w:color w:val="auto"/>
          <w:spacing w:val="0"/>
          <w:sz w:val="32"/>
          <w:szCs w:val="32"/>
          <w:shd w:val="clear" w:color="auto" w:fill="FFFFFF"/>
          <w:lang w:val="en-US" w:eastAsia="zh-CN"/>
        </w:rPr>
        <w:t>工业类</w:t>
      </w:r>
      <w:r>
        <w:rPr>
          <w:rFonts w:hint="eastAsia" w:ascii="仿宋_GB2312" w:hAnsi="仿宋_GB2312" w:cs="仿宋_GB2312"/>
          <w:b w:val="0"/>
          <w:color w:val="auto"/>
          <w:sz w:val="32"/>
          <w:szCs w:val="32"/>
          <w:highlight w:val="none"/>
          <w:lang w:val="en-US" w:eastAsia="zh-CN"/>
        </w:rPr>
        <w:t>招商项目研判的必备条件。经</w:t>
      </w:r>
      <w:r>
        <w:rPr>
          <w:rFonts w:hint="eastAsia" w:ascii="仿宋_GB2312" w:hAnsi="宋体" w:eastAsia="仿宋_GB2312" w:cs="宋体"/>
          <w:color w:val="auto"/>
          <w:kern w:val="0"/>
          <w:sz w:val="32"/>
          <w:szCs w:val="32"/>
          <w:lang w:val="en-US" w:eastAsia="zh-CN"/>
        </w:rPr>
        <w:t>市</w:t>
      </w:r>
      <w:r>
        <w:rPr>
          <w:rFonts w:hint="eastAsia" w:ascii="仿宋_GB2312" w:hAnsi="宋体" w:cs="宋体"/>
          <w:color w:val="auto"/>
          <w:kern w:val="0"/>
          <w:sz w:val="32"/>
          <w:szCs w:val="32"/>
          <w:lang w:val="en-US" w:eastAsia="zh-CN"/>
        </w:rPr>
        <w:t>招商引资</w:t>
      </w:r>
      <w:r>
        <w:rPr>
          <w:rFonts w:hint="eastAsia" w:ascii="仿宋_GB2312" w:hAnsi="宋体" w:eastAsia="仿宋_GB2312" w:cs="宋体"/>
          <w:color w:val="auto"/>
          <w:kern w:val="0"/>
          <w:sz w:val="32"/>
          <w:szCs w:val="32"/>
          <w:lang w:val="en-US" w:eastAsia="zh-CN"/>
        </w:rPr>
        <w:t>研判会商工作组</w:t>
      </w:r>
      <w:r>
        <w:rPr>
          <w:rFonts w:hint="eastAsia" w:ascii="仿宋_GB2312" w:hAnsi="仿宋_GB2312" w:eastAsia="仿宋_GB2312" w:cs="仿宋_GB2312"/>
          <w:i w:val="0"/>
          <w:caps w:val="0"/>
          <w:color w:val="auto"/>
          <w:spacing w:val="0"/>
          <w:sz w:val="32"/>
          <w:szCs w:val="32"/>
          <w:shd w:val="clear" w:color="auto" w:fill="FFFFFF"/>
        </w:rPr>
        <w:t>事前研判</w:t>
      </w:r>
      <w:r>
        <w:rPr>
          <w:rFonts w:hint="eastAsia" w:ascii="仿宋_GB2312" w:hAnsi="仿宋_GB2312" w:cs="仿宋_GB2312"/>
          <w:i w:val="0"/>
          <w:caps w:val="0"/>
          <w:color w:val="auto"/>
          <w:spacing w:val="0"/>
          <w:sz w:val="32"/>
          <w:szCs w:val="32"/>
          <w:shd w:val="clear" w:color="auto" w:fill="FFFFFF"/>
          <w:lang w:val="en-US" w:eastAsia="zh-CN"/>
        </w:rPr>
        <w:t>并</w:t>
      </w:r>
      <w:r>
        <w:rPr>
          <w:rFonts w:hint="eastAsia" w:ascii="仿宋_GB2312" w:hAnsi="仿宋_GB2312" w:eastAsia="仿宋_GB2312" w:cs="仿宋_GB2312"/>
          <w:color w:val="auto"/>
          <w:sz w:val="32"/>
          <w:szCs w:val="32"/>
          <w:lang w:val="en-US" w:eastAsia="zh-CN"/>
        </w:rPr>
        <w:t>同意</w:t>
      </w:r>
      <w:r>
        <w:rPr>
          <w:rFonts w:hint="eastAsia" w:ascii="仿宋_GB2312" w:hAnsi="仿宋_GB2312" w:cs="仿宋_GB2312"/>
          <w:color w:val="auto"/>
          <w:sz w:val="32"/>
          <w:szCs w:val="32"/>
          <w:lang w:val="en-US" w:eastAsia="zh-CN"/>
        </w:rPr>
        <w:t>的</w:t>
      </w:r>
      <w:r>
        <w:rPr>
          <w:rFonts w:hint="eastAsia" w:ascii="仿宋_GB2312" w:hAnsi="仿宋_GB2312" w:eastAsia="仿宋_GB2312" w:cs="仿宋_GB2312"/>
          <w:i w:val="0"/>
          <w:caps w:val="0"/>
          <w:color w:val="auto"/>
          <w:spacing w:val="0"/>
          <w:sz w:val="32"/>
          <w:szCs w:val="32"/>
          <w:shd w:val="clear" w:color="auto" w:fill="FFFFFF"/>
          <w:lang w:val="en-US" w:eastAsia="zh-CN"/>
        </w:rPr>
        <w:t>工业类招商项目</w:t>
      </w:r>
      <w:r>
        <w:rPr>
          <w:rFonts w:hint="eastAsia" w:ascii="仿宋_GB2312" w:hAnsi="仿宋_GB2312" w:cs="仿宋_GB2312"/>
          <w:i w:val="0"/>
          <w:caps w:val="0"/>
          <w:color w:val="auto"/>
          <w:spacing w:val="0"/>
          <w:sz w:val="32"/>
          <w:szCs w:val="32"/>
          <w:shd w:val="clear" w:color="auto" w:fill="FFFFFF"/>
          <w:lang w:val="en-US" w:eastAsia="zh-CN"/>
        </w:rPr>
        <w:t>，土地供应前，自然资源部门要严格审查规划容积率，与研判容积率不一致的，不得供应土地。</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color w:val="auto"/>
          <w:lang w:val="en-US" w:eastAsia="zh-CN"/>
        </w:rPr>
      </w:pPr>
      <w:r>
        <w:rPr>
          <w:rFonts w:hint="eastAsia" w:ascii="楷体_GB2312" w:eastAsia="楷体_GB2312" w:cs="楷体_GB2312"/>
          <w:color w:val="auto"/>
        </w:rPr>
        <w:t>（二</w:t>
      </w:r>
      <w:bookmarkStart w:id="0" w:name="_GoBack"/>
      <w:bookmarkEnd w:id="0"/>
      <w:r>
        <w:rPr>
          <w:rFonts w:hint="eastAsia" w:ascii="楷体_GB2312" w:eastAsia="楷体_GB2312" w:cs="楷体_GB2312"/>
          <w:color w:val="auto"/>
        </w:rPr>
        <w:t>）</w:t>
      </w:r>
      <w:r>
        <w:rPr>
          <w:rFonts w:hint="eastAsia" w:ascii="楷体_GB2312" w:hAnsi="楷体_GB2312" w:eastAsia="楷体_GB2312" w:cs="楷体_GB2312"/>
          <w:color w:val="auto"/>
          <w:lang w:val="en-US" w:eastAsia="zh-CN"/>
        </w:rPr>
        <w:t>加强项目分期供应审查。</w:t>
      </w:r>
      <w:r>
        <w:rPr>
          <w:rFonts w:hint="eastAsia" w:ascii="仿宋_GB2312" w:hAnsi="仿宋_GB2312" w:cs="仿宋_GB2312"/>
          <w:color w:val="auto"/>
          <w:lang w:val="en-US" w:eastAsia="zh-CN"/>
        </w:rPr>
        <w:t>新增工业项目需分期实施土地供应的，要在项目招商研判阶段提出分期方案，明确分期用地的面积、容积率、投入产出等各项指标。对已落地的工业项目，在二期及后期用地供应时（不含因安全、环保生产需要扩建的边角地），由项目落户地对前期用地的情况（包括但不限于</w:t>
      </w:r>
      <w:r>
        <w:rPr>
          <w:rFonts w:hint="eastAsia" w:ascii="仿宋_GB2312" w:hAnsi="仿宋_GB2312" w:eastAsia="仿宋_GB2312" w:cs="仿宋_GB2312"/>
          <w:i w:val="0"/>
          <w:caps w:val="0"/>
          <w:color w:val="auto"/>
          <w:spacing w:val="0"/>
          <w:sz w:val="32"/>
          <w:szCs w:val="32"/>
          <w:shd w:val="clear" w:color="auto" w:fill="FFFFFF"/>
          <w:lang w:val="en-US" w:eastAsia="zh-CN"/>
        </w:rPr>
        <w:t>投入产出、容积率等</w:t>
      </w:r>
      <w:r>
        <w:rPr>
          <w:rFonts w:hint="eastAsia" w:ascii="仿宋_GB2312" w:hAnsi="仿宋_GB2312" w:cs="仿宋_GB2312"/>
          <w:i w:val="0"/>
          <w:caps w:val="0"/>
          <w:color w:val="auto"/>
          <w:spacing w:val="0"/>
          <w:sz w:val="32"/>
          <w:szCs w:val="32"/>
          <w:shd w:val="clear" w:color="auto" w:fill="FFFFFF"/>
          <w:lang w:val="en-US" w:eastAsia="zh-CN"/>
        </w:rPr>
        <w:t>指标</w:t>
      </w:r>
      <w:r>
        <w:rPr>
          <w:rFonts w:hint="eastAsia" w:ascii="仿宋_GB2312" w:hAnsi="仿宋_GB2312" w:eastAsia="仿宋_GB2312" w:cs="仿宋_GB2312"/>
          <w:i w:val="0"/>
          <w:caps w:val="0"/>
          <w:color w:val="auto"/>
          <w:spacing w:val="0"/>
          <w:sz w:val="32"/>
          <w:szCs w:val="32"/>
          <w:shd w:val="clear" w:color="auto" w:fill="FFFFFF"/>
          <w:lang w:val="en-US" w:eastAsia="zh-CN"/>
        </w:rPr>
        <w:t>）进行全面审查，</w:t>
      </w:r>
      <w:r>
        <w:rPr>
          <w:rFonts w:hint="eastAsia" w:ascii="仿宋_GB2312" w:hAnsi="仿宋_GB2312" w:cs="仿宋_GB2312"/>
          <w:i w:val="0"/>
          <w:caps w:val="0"/>
          <w:color w:val="auto"/>
          <w:spacing w:val="0"/>
          <w:sz w:val="32"/>
          <w:szCs w:val="32"/>
          <w:shd w:val="clear" w:color="auto" w:fill="FFFFFF"/>
          <w:lang w:val="en-US" w:eastAsia="zh-CN"/>
        </w:rPr>
        <w:t>出具审查意见，原则上对项目</w:t>
      </w:r>
      <w:r>
        <w:rPr>
          <w:rFonts w:hint="eastAsia" w:ascii="仿宋_GB2312" w:hAnsi="仿宋_GB2312" w:cs="仿宋_GB2312"/>
          <w:color w:val="auto"/>
          <w:lang w:val="en-US" w:eastAsia="zh-CN"/>
        </w:rPr>
        <w:t>前期用地已</w:t>
      </w:r>
      <w:r>
        <w:rPr>
          <w:rFonts w:hint="eastAsia" w:ascii="仿宋_GB2312" w:hAnsi="仿宋_GB2312" w:cs="仿宋_GB2312"/>
          <w:i w:val="0"/>
          <w:caps w:val="0"/>
          <w:color w:val="auto"/>
          <w:spacing w:val="0"/>
          <w:sz w:val="32"/>
          <w:szCs w:val="32"/>
          <w:shd w:val="clear" w:color="auto" w:fill="FFFFFF"/>
          <w:lang w:val="en-US" w:eastAsia="zh-CN"/>
        </w:rPr>
        <w:t>竣工验收，且投入产出已达相关约定的，</w:t>
      </w:r>
      <w:r>
        <w:rPr>
          <w:rFonts w:hint="eastAsia" w:ascii="仿宋_GB2312" w:hAnsi="仿宋_GB2312" w:cs="仿宋_GB2312"/>
          <w:color w:val="auto"/>
          <w:lang w:val="en-US" w:eastAsia="zh-CN"/>
        </w:rPr>
        <w:t>自然资源部门方可供应二期或后期用地。</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cs="仿宋_GB2312"/>
          <w:color w:val="auto"/>
          <w:lang w:val="en-US" w:eastAsia="zh-CN"/>
        </w:rPr>
      </w:pPr>
      <w:r>
        <w:rPr>
          <w:rFonts w:hint="eastAsia" w:ascii="楷体_GB2312" w:eastAsia="楷体_GB2312" w:cs="楷体_GB2312"/>
          <w:color w:val="auto"/>
        </w:rPr>
        <w:t>（</w:t>
      </w:r>
      <w:r>
        <w:rPr>
          <w:rFonts w:hint="eastAsia" w:ascii="楷体_GB2312" w:eastAsia="楷体_GB2312" w:cs="楷体_GB2312"/>
          <w:color w:val="auto"/>
          <w:lang w:val="en-US" w:eastAsia="zh-CN"/>
        </w:rPr>
        <w:t>三</w:t>
      </w:r>
      <w:r>
        <w:rPr>
          <w:rFonts w:hint="eastAsia" w:ascii="楷体_GB2312" w:eastAsia="楷体_GB2312" w:cs="楷体_GB2312"/>
          <w:color w:val="auto"/>
        </w:rPr>
        <w:t>）</w:t>
      </w:r>
      <w:r>
        <w:rPr>
          <w:rFonts w:hint="eastAsia" w:ascii="楷体_GB2312" w:eastAsia="楷体_GB2312" w:cs="楷体_GB2312"/>
          <w:color w:val="auto"/>
          <w:lang w:val="en-US" w:eastAsia="zh-CN"/>
        </w:rPr>
        <w:t>严格项目规划设计方案审查</w:t>
      </w:r>
      <w:r>
        <w:rPr>
          <w:rFonts w:hint="eastAsia" w:ascii="楷体_GB2312" w:eastAsia="楷体_GB2312" w:cs="楷体_GB2312"/>
          <w:color w:val="auto"/>
        </w:rPr>
        <w:t>。</w:t>
      </w:r>
      <w:r>
        <w:rPr>
          <w:rFonts w:hint="eastAsia" w:ascii="仿宋_GB2312" w:hAnsi="仿宋_GB2312" w:eastAsia="仿宋_GB2312" w:cs="仿宋_GB2312"/>
          <w:color w:val="auto"/>
          <w:lang w:val="en-US" w:eastAsia="zh-CN"/>
        </w:rPr>
        <w:t>加强</w:t>
      </w:r>
      <w:r>
        <w:rPr>
          <w:rFonts w:hint="eastAsia" w:ascii="仿宋_GB2312" w:hAnsi="仿宋_GB2312" w:cs="仿宋_GB2312"/>
          <w:color w:val="auto"/>
          <w:lang w:val="en-US" w:eastAsia="zh-CN"/>
        </w:rPr>
        <w:t>工业</w:t>
      </w:r>
      <w:r>
        <w:rPr>
          <w:rFonts w:hint="eastAsia" w:ascii="仿宋_GB2312" w:hAnsi="仿宋_GB2312" w:eastAsia="仿宋_GB2312" w:cs="仿宋_GB2312"/>
          <w:color w:val="auto"/>
          <w:lang w:val="en-US" w:eastAsia="zh-CN"/>
        </w:rPr>
        <w:t>项目</w:t>
      </w:r>
      <w:r>
        <w:rPr>
          <w:rFonts w:hint="eastAsia" w:ascii="仿宋_GB2312" w:hAnsi="仿宋_GB2312" w:cs="仿宋_GB2312"/>
          <w:color w:val="auto"/>
          <w:lang w:val="en-US" w:eastAsia="zh-CN"/>
        </w:rPr>
        <w:t>的</w:t>
      </w:r>
      <w:r>
        <w:rPr>
          <w:rFonts w:hint="eastAsia" w:ascii="仿宋_GB2312" w:hAnsi="仿宋_GB2312" w:eastAsia="仿宋_GB2312" w:cs="仿宋_GB2312"/>
          <w:color w:val="auto"/>
          <w:lang w:val="en-US" w:eastAsia="zh-CN"/>
        </w:rPr>
        <w:t>规划设计方案审查，落实</w:t>
      </w:r>
      <w:r>
        <w:rPr>
          <w:rFonts w:hint="eastAsia" w:ascii="仿宋_GB2312" w:hAnsi="仿宋_GB2312" w:eastAsia="仿宋_GB2312" w:cs="仿宋_GB2312"/>
          <w:color w:val="auto"/>
        </w:rPr>
        <w:t>项目用地标准、容积率</w:t>
      </w:r>
      <w:r>
        <w:rPr>
          <w:rFonts w:hint="eastAsia" w:ascii="仿宋_GB2312" w:hAnsi="仿宋_GB2312" w:eastAsia="仿宋_GB2312" w:cs="仿宋_GB2312"/>
          <w:color w:val="auto"/>
          <w:lang w:val="en-US" w:eastAsia="zh-CN"/>
        </w:rPr>
        <w:t>要求，</w:t>
      </w:r>
      <w:r>
        <w:rPr>
          <w:rFonts w:hint="eastAsia" w:ascii="仿宋_GB2312" w:hAnsi="仿宋_GB2312" w:eastAsia="仿宋_GB2312" w:cs="仿宋_GB2312"/>
          <w:color w:val="auto"/>
        </w:rPr>
        <w:t>加强建设用地容积率规划管理</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确保项目规划设计方案</w:t>
      </w:r>
      <w:r>
        <w:rPr>
          <w:rFonts w:hint="eastAsia" w:ascii="仿宋_GB2312" w:hAnsi="仿宋_GB2312" w:cs="仿宋_GB2312"/>
          <w:color w:val="auto"/>
          <w:lang w:val="en-US" w:eastAsia="zh-CN"/>
        </w:rPr>
        <w:t>的总计容建筑面积符合土地出让时规划条件的要求</w:t>
      </w:r>
      <w:r>
        <w:rPr>
          <w:rFonts w:hint="eastAsia" w:ascii="仿宋_GB2312" w:hAnsi="仿宋_GB2312" w:eastAsia="仿宋_GB2312" w:cs="仿宋_GB2312"/>
          <w:color w:val="auto"/>
        </w:rPr>
        <w:t>。</w:t>
      </w:r>
      <w:r>
        <w:rPr>
          <w:rFonts w:hint="eastAsia" w:ascii="仿宋_GB2312" w:hAnsi="仿宋_GB2312" w:cs="仿宋_GB2312"/>
          <w:color w:val="auto"/>
          <w:lang w:val="en-US" w:eastAsia="zh-CN"/>
        </w:rPr>
        <w:t>对能增加厂房层数的，各地要激励企业优化完善厂房规划设计方案。</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color w:val="auto"/>
          <w:lang w:val="en-US" w:eastAsia="zh-CN"/>
        </w:rPr>
      </w:pPr>
      <w:r>
        <w:rPr>
          <w:rFonts w:hint="eastAsia" w:ascii="楷体_GB2312" w:hAnsi="楷体_GB2312" w:eastAsia="楷体_GB2312" w:cs="楷体_GB2312"/>
          <w:color w:val="auto"/>
          <w:lang w:eastAsia="zh-CN"/>
        </w:rPr>
        <w:t>（</w:t>
      </w:r>
      <w:r>
        <w:rPr>
          <w:rFonts w:hint="eastAsia" w:ascii="楷体_GB2312" w:hAnsi="楷体_GB2312" w:eastAsia="楷体_GB2312" w:cs="楷体_GB2312"/>
          <w:color w:val="auto"/>
          <w:lang w:val="en-US" w:eastAsia="zh-CN"/>
        </w:rPr>
        <w:t>四</w:t>
      </w:r>
      <w:r>
        <w:rPr>
          <w:rFonts w:hint="eastAsia" w:ascii="楷体_GB2312" w:hAnsi="楷体_GB2312" w:eastAsia="楷体_GB2312" w:cs="楷体_GB2312"/>
          <w:color w:val="auto"/>
          <w:lang w:eastAsia="zh-CN"/>
        </w:rPr>
        <w:t>）</w:t>
      </w:r>
      <w:r>
        <w:rPr>
          <w:rFonts w:hint="eastAsia" w:ascii="楷体_GB2312" w:eastAsia="楷体_GB2312" w:cs="楷体_GB2312"/>
          <w:color w:val="auto"/>
          <w:lang w:val="en-US" w:eastAsia="zh-CN"/>
        </w:rPr>
        <w:t>强化项目竣工验收管理</w:t>
      </w:r>
      <w:r>
        <w:rPr>
          <w:rFonts w:hint="eastAsia" w:ascii="楷体_GB2312" w:eastAsia="楷体_GB2312" w:cs="楷体_GB2312"/>
          <w:color w:val="auto"/>
        </w:rPr>
        <w:t>。</w:t>
      </w:r>
      <w:r>
        <w:rPr>
          <w:rFonts w:hint="eastAsia" w:ascii="仿宋_GB2312" w:hAnsi="仿宋_GB2312" w:eastAsia="仿宋_GB2312" w:cs="仿宋_GB2312"/>
          <w:color w:val="auto"/>
        </w:rPr>
        <w:t>强化</w:t>
      </w:r>
      <w:r>
        <w:rPr>
          <w:rFonts w:hint="eastAsia" w:ascii="仿宋_GB2312" w:hAnsi="仿宋_GB2312" w:cs="仿宋_GB2312"/>
          <w:color w:val="auto"/>
          <w:lang w:val="en-US" w:eastAsia="zh-CN"/>
        </w:rPr>
        <w:t>工业</w:t>
      </w:r>
      <w:r>
        <w:rPr>
          <w:rFonts w:hint="eastAsia" w:ascii="仿宋_GB2312" w:hAnsi="仿宋_GB2312" w:eastAsia="仿宋_GB2312" w:cs="仿宋_GB2312"/>
          <w:color w:val="auto"/>
        </w:rPr>
        <w:t>项目竣工验收规划要素核查</w:t>
      </w:r>
      <w:r>
        <w:rPr>
          <w:rFonts w:hint="eastAsia" w:ascii="仿宋_GB2312" w:hAnsi="仿宋_GB2312" w:cs="仿宋_GB2312"/>
          <w:color w:val="auto"/>
          <w:lang w:eastAsia="zh-CN"/>
        </w:rPr>
        <w:t>，</w:t>
      </w:r>
      <w:r>
        <w:rPr>
          <w:rFonts w:hint="eastAsia" w:ascii="仿宋_GB2312" w:hAnsi="仿宋_GB2312" w:eastAsia="仿宋_GB2312" w:cs="仿宋_GB2312"/>
          <w:color w:val="auto"/>
          <w:lang w:val="en-US" w:eastAsia="zh-CN"/>
        </w:rPr>
        <w:t>对照</w:t>
      </w:r>
      <w:r>
        <w:rPr>
          <w:rFonts w:hint="eastAsia" w:ascii="仿宋_GB2312" w:hAnsi="仿宋_GB2312" w:eastAsia="仿宋_GB2312" w:cs="仿宋_GB2312"/>
          <w:color w:val="auto"/>
        </w:rPr>
        <w:t>规划设计方案</w:t>
      </w:r>
      <w:r>
        <w:rPr>
          <w:rFonts w:hint="eastAsia" w:ascii="仿宋_GB2312" w:hAnsi="仿宋_GB2312" w:cs="仿宋_GB2312"/>
          <w:color w:val="auto"/>
          <w:lang w:eastAsia="zh-CN"/>
        </w:rPr>
        <w:t>、</w:t>
      </w:r>
      <w:r>
        <w:rPr>
          <w:rFonts w:hint="eastAsia" w:ascii="仿宋_GB2312" w:hAnsi="仿宋_GB2312" w:cs="仿宋_GB2312"/>
          <w:color w:val="auto"/>
          <w:lang w:val="en-US" w:eastAsia="zh-CN"/>
        </w:rPr>
        <w:t>工程</w:t>
      </w:r>
      <w:r>
        <w:rPr>
          <w:rFonts w:hint="eastAsia" w:ascii="仿宋_GB2312" w:hAnsi="仿宋_GB2312" w:eastAsia="仿宋_GB2312" w:cs="仿宋_GB2312"/>
          <w:color w:val="auto"/>
        </w:rPr>
        <w:t>规划许可</w:t>
      </w:r>
      <w:r>
        <w:rPr>
          <w:rFonts w:hint="eastAsia" w:ascii="仿宋_GB2312" w:hAnsi="仿宋_GB2312" w:cs="仿宋_GB2312"/>
          <w:color w:val="auto"/>
          <w:lang w:val="en-US" w:eastAsia="zh-CN"/>
        </w:rPr>
        <w:t>核验</w:t>
      </w:r>
      <w:r>
        <w:rPr>
          <w:rFonts w:hint="eastAsia" w:ascii="仿宋_GB2312" w:hAnsi="仿宋_GB2312" w:eastAsia="仿宋_GB2312" w:cs="仿宋_GB2312"/>
          <w:color w:val="auto"/>
        </w:rPr>
        <w:t>建筑面积、容积率</w:t>
      </w:r>
      <w:r>
        <w:rPr>
          <w:rFonts w:hint="eastAsia" w:ascii="仿宋_GB2312" w:hAnsi="仿宋_GB2312" w:cs="仿宋_GB2312"/>
          <w:color w:val="auto"/>
          <w:lang w:eastAsia="zh-CN"/>
        </w:rPr>
        <w:t>、</w:t>
      </w:r>
      <w:r>
        <w:rPr>
          <w:rFonts w:hint="eastAsia" w:ascii="仿宋_GB2312" w:hAnsi="仿宋_GB2312" w:cs="仿宋_GB2312"/>
          <w:color w:val="auto"/>
          <w:lang w:val="en-US" w:eastAsia="zh-CN"/>
        </w:rPr>
        <w:t>建筑密度、绿地率</w:t>
      </w:r>
      <w:r>
        <w:rPr>
          <w:rFonts w:hint="eastAsia" w:ascii="仿宋_GB2312" w:hAnsi="仿宋_GB2312" w:eastAsia="仿宋_GB2312" w:cs="仿宋_GB2312"/>
          <w:color w:val="auto"/>
        </w:rPr>
        <w:t>等</w:t>
      </w:r>
      <w:r>
        <w:rPr>
          <w:rFonts w:hint="eastAsia" w:ascii="仿宋_GB2312" w:hAnsi="仿宋_GB2312" w:cs="仿宋_GB2312"/>
          <w:color w:val="auto"/>
          <w:lang w:val="en-US" w:eastAsia="zh-CN"/>
        </w:rPr>
        <w:t>约束</w:t>
      </w:r>
      <w:r>
        <w:rPr>
          <w:rFonts w:hint="eastAsia" w:ascii="仿宋_GB2312" w:hAnsi="仿宋_GB2312" w:eastAsia="仿宋_GB2312" w:cs="仿宋_GB2312"/>
          <w:color w:val="auto"/>
        </w:rPr>
        <w:t>性指</w:t>
      </w:r>
      <w:r>
        <w:rPr>
          <w:rFonts w:hint="eastAsia" w:ascii="仿宋_GB2312" w:hAnsi="仿宋_GB2312" w:eastAsia="仿宋_GB2312" w:cs="仿宋_GB2312"/>
          <w:color w:val="auto"/>
          <w:lang w:val="en-US" w:eastAsia="zh-CN"/>
        </w:rPr>
        <w:t>标，保障</w:t>
      </w:r>
      <w:r>
        <w:rPr>
          <w:rFonts w:hint="eastAsia" w:ascii="仿宋_GB2312" w:hAnsi="仿宋_GB2312" w:cs="仿宋_GB2312"/>
          <w:color w:val="auto"/>
          <w:lang w:val="en-US" w:eastAsia="zh-CN"/>
        </w:rPr>
        <w:t>工业</w:t>
      </w:r>
      <w:r>
        <w:rPr>
          <w:rFonts w:hint="eastAsia" w:ascii="仿宋_GB2312" w:hAnsi="仿宋_GB2312" w:eastAsia="仿宋_GB2312" w:cs="仿宋_GB2312"/>
          <w:color w:val="auto"/>
          <w:lang w:val="en-US" w:eastAsia="zh-CN"/>
        </w:rPr>
        <w:t>项目按要求</w:t>
      </w:r>
      <w:r>
        <w:rPr>
          <w:rFonts w:hint="eastAsia" w:ascii="仿宋_GB2312" w:hAnsi="仿宋_GB2312" w:cs="仿宋_GB2312"/>
          <w:color w:val="auto"/>
          <w:lang w:val="en-US" w:eastAsia="zh-CN"/>
        </w:rPr>
        <w:t>落实节约集约用地</w:t>
      </w:r>
      <w:r>
        <w:rPr>
          <w:rFonts w:hint="eastAsia" w:ascii="仿宋_GB2312" w:hAnsi="仿宋_GB2312" w:eastAsia="仿宋_GB2312" w:cs="仿宋_GB2312"/>
          <w:color w:val="auto"/>
          <w:lang w:val="en-US" w:eastAsia="zh-CN"/>
        </w:rPr>
        <w:t>。</w:t>
      </w:r>
      <w:r>
        <w:rPr>
          <w:rFonts w:hint="eastAsia" w:ascii="仿宋_GB2312" w:hAnsi="仿宋_GB2312" w:cs="仿宋_GB2312"/>
          <w:color w:val="auto"/>
          <w:lang w:val="en-US" w:eastAsia="zh-CN"/>
        </w:rPr>
        <w:t>对未达到规划约束性指标的，督促用地企业进行整改，整改不通过的，不得竣工验收。</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cs="仿宋_GB2312"/>
          <w:color w:val="auto"/>
          <w:lang w:val="en-US" w:eastAsia="zh-CN"/>
        </w:rPr>
      </w:pPr>
      <w:r>
        <w:rPr>
          <w:rFonts w:hint="eastAsia" w:ascii="楷体_GB2312" w:hAnsi="楷体_GB2312" w:eastAsia="楷体_GB2312" w:cs="楷体_GB2312"/>
          <w:color w:val="auto"/>
          <w:lang w:val="en-US" w:eastAsia="zh-CN"/>
        </w:rPr>
        <w:t>（五）加强“双合同”监管。</w:t>
      </w:r>
      <w:r>
        <w:rPr>
          <w:rFonts w:hint="eastAsia" w:ascii="仿宋_GB2312" w:hAnsi="仿宋_GB2312" w:cs="仿宋_GB2312"/>
          <w:color w:val="auto"/>
          <w:lang w:val="en-US" w:eastAsia="zh-CN"/>
        </w:rPr>
        <w:t>省级以上开发区全面实行工业项目“标准地”出让</w:t>
      </w:r>
      <w:r>
        <w:rPr>
          <w:rFonts w:hint="eastAsia" w:ascii="仿宋_GB2312" w:hAnsi="仿宋_GB2312" w:eastAsia="仿宋_GB2312" w:cs="仿宋_GB2312"/>
          <w:color w:val="auto"/>
          <w:lang w:val="en-US" w:eastAsia="zh-CN"/>
        </w:rPr>
        <w:t>，</w:t>
      </w:r>
      <w:r>
        <w:rPr>
          <w:rFonts w:hint="eastAsia" w:ascii="仿宋_GB2312" w:hAnsi="仿宋_GB2312" w:cs="仿宋_GB2312"/>
          <w:color w:val="auto"/>
          <w:lang w:val="en-US" w:eastAsia="zh-CN"/>
        </w:rPr>
        <w:t>其他地区结合工业项目实际管理需要推行“标准地”出让。新增国有工业建设用地全部落实“双合同”监管，按规定分别与自然资源部门和属地政府（管委会）</w:t>
      </w:r>
      <w:r>
        <w:rPr>
          <w:rFonts w:hint="eastAsia" w:ascii="仿宋_GB2312" w:hAnsi="仿宋_GB2312" w:eastAsia="仿宋_GB2312" w:cs="仿宋_GB2312"/>
          <w:color w:val="auto"/>
          <w:lang w:val="en-US" w:eastAsia="zh-CN"/>
        </w:rPr>
        <w:t>签订《国有建设用地使用权出让合同》和《工业项目用地投入产出监管合同》，按照“谁签订、谁监管”的原则落实监管主体，双管齐下，切实将用地</w:t>
      </w:r>
      <w:r>
        <w:rPr>
          <w:rFonts w:hint="eastAsia" w:ascii="仿宋_GB2312" w:hAnsi="仿宋_GB2312" w:cs="仿宋_GB2312"/>
          <w:color w:val="auto"/>
          <w:lang w:val="en-US" w:eastAsia="zh-CN"/>
        </w:rPr>
        <w:t>供</w:t>
      </w:r>
      <w:r>
        <w:rPr>
          <w:rFonts w:hint="eastAsia" w:ascii="仿宋_GB2312" w:hAnsi="仿宋_GB2312" w:eastAsia="仿宋_GB2312" w:cs="仿宋_GB2312"/>
          <w:color w:val="auto"/>
          <w:lang w:val="en-US" w:eastAsia="zh-CN"/>
        </w:rPr>
        <w:t>后监管落到实处。</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cs="仿宋_GB2312"/>
          <w:color w:val="auto"/>
          <w:lang w:val="en-US" w:eastAsia="zh-CN"/>
        </w:rPr>
      </w:pPr>
      <w:r>
        <w:rPr>
          <w:rFonts w:hint="eastAsia" w:ascii="仿宋_GB2312" w:hAnsi="仿宋_GB2312" w:cs="仿宋_GB2312"/>
          <w:color w:val="auto"/>
          <w:lang w:val="en-US" w:eastAsia="zh-CN"/>
        </w:rPr>
        <w:t>附表：省级以上开发园区主导产业用地容积率提升表</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cs="仿宋_GB2312"/>
          <w:color w:val="auto"/>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cs="仿宋_GB2312"/>
          <w:color w:val="auto"/>
          <w:lang w:val="en-US" w:eastAsia="zh-CN"/>
        </w:rPr>
      </w:pPr>
    </w:p>
    <w:p>
      <w:pPr>
        <w:rPr>
          <w:rFonts w:hint="eastAsia" w:ascii="仿宋_GB2312" w:hAnsi="仿宋_GB2312" w:eastAsia="仿宋_GB2312" w:cs="仿宋_GB2312"/>
          <w:i w:val="0"/>
          <w:caps w:val="0"/>
          <w:color w:val="auto"/>
          <w:spacing w:val="0"/>
          <w:sz w:val="32"/>
          <w:szCs w:val="32"/>
          <w:shd w:val="clear" w:fill="FFFFFF"/>
          <w:lang w:val="en-US" w:eastAsia="zh-CN"/>
        </w:rPr>
      </w:pPr>
      <w:r>
        <w:rPr>
          <w:rFonts w:hint="eastAsia" w:ascii="仿宋_GB2312" w:hAnsi="仿宋_GB2312" w:eastAsia="仿宋_GB2312" w:cs="仿宋_GB2312"/>
          <w:i w:val="0"/>
          <w:caps w:val="0"/>
          <w:color w:val="auto"/>
          <w:spacing w:val="0"/>
          <w:sz w:val="32"/>
          <w:szCs w:val="32"/>
          <w:shd w:val="clear" w:fill="FFFFFF"/>
          <w:lang w:val="en-US" w:eastAsia="zh-CN"/>
        </w:rPr>
        <w:br w:type="page"/>
      </w:r>
    </w:p>
    <w:p>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default" w:ascii="仿宋_GB2312" w:hAnsi="仿宋_GB2312" w:cs="仿宋_GB2312"/>
          <w:color w:val="auto"/>
          <w:lang w:val="en-US" w:eastAsia="zh-CN"/>
        </w:rPr>
      </w:pPr>
      <w:r>
        <w:rPr>
          <w:rFonts w:hint="eastAsia" w:ascii="仿宋_GB2312" w:hAnsi="仿宋_GB2312" w:cs="仿宋_GB2312"/>
          <w:color w:val="auto"/>
          <w:lang w:val="en-US" w:eastAsia="zh-CN"/>
        </w:rPr>
        <w:t>附表</w:t>
      </w:r>
    </w:p>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方正小标宋简体" w:hAnsi="方正小标宋简体" w:eastAsia="方正小标宋简体" w:cs="方正小标宋简体"/>
          <w:i w:val="0"/>
          <w:iCs w:val="0"/>
          <w:color w:val="000000"/>
          <w:spacing w:val="-17"/>
          <w:kern w:val="0"/>
          <w:sz w:val="44"/>
          <w:szCs w:val="44"/>
          <w:u w:val="none"/>
          <w:lang w:val="en-US" w:eastAsia="zh-CN" w:bidi="ar"/>
        </w:rPr>
      </w:pPr>
      <w:r>
        <w:rPr>
          <w:rFonts w:hint="eastAsia" w:ascii="方正小标宋简体" w:hAnsi="方正小标宋简体" w:eastAsia="方正小标宋简体" w:cs="方正小标宋简体"/>
          <w:i w:val="0"/>
          <w:iCs w:val="0"/>
          <w:color w:val="000000"/>
          <w:spacing w:val="-17"/>
          <w:kern w:val="0"/>
          <w:sz w:val="44"/>
          <w:szCs w:val="44"/>
          <w:u w:val="none"/>
          <w:lang w:val="en-US" w:eastAsia="zh-CN" w:bidi="ar"/>
        </w:rPr>
        <w:t>省级以上开发园区主导产业用地容积率提升表</w:t>
      </w:r>
    </w:p>
    <w:tbl>
      <w:tblPr>
        <w:tblStyle w:val="7"/>
        <w:tblW w:w="9119"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109"/>
        <w:gridCol w:w="3119"/>
        <w:gridCol w:w="28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54" w:hRule="atLeast"/>
          <w:jc w:val="center"/>
        </w:trPr>
        <w:tc>
          <w:tcPr>
            <w:tcW w:w="31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主导产业</w:t>
            </w:r>
          </w:p>
        </w:tc>
        <w:tc>
          <w:tcPr>
            <w:tcW w:w="60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提升目标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54" w:hRule="atLeast"/>
          <w:jc w:val="center"/>
        </w:trPr>
        <w:tc>
          <w:tcPr>
            <w:tcW w:w="31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28"/>
                <w:szCs w:val="28"/>
                <w:u w:val="none"/>
              </w:rPr>
            </w:pP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黑体" w:hAnsi="宋体" w:eastAsia="黑体" w:cs="黑体"/>
                <w:i w:val="0"/>
                <w:iCs w:val="0"/>
                <w:color w:val="000000"/>
                <w:sz w:val="28"/>
                <w:szCs w:val="28"/>
                <w:u w:val="none"/>
                <w:lang w:val="en-US"/>
              </w:rPr>
            </w:pPr>
            <w:r>
              <w:rPr>
                <w:rFonts w:hint="eastAsia" w:ascii="黑体" w:hAnsi="宋体" w:eastAsia="黑体" w:cs="黑体"/>
                <w:i w:val="0"/>
                <w:iCs w:val="0"/>
                <w:color w:val="000000"/>
                <w:kern w:val="0"/>
                <w:sz w:val="28"/>
                <w:szCs w:val="28"/>
                <w:u w:val="none"/>
                <w:lang w:val="en-US" w:eastAsia="zh-CN" w:bidi="ar"/>
              </w:rPr>
              <w:t>2023年 月 日起</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2025年起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装备制造</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新材料</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auto"/>
                <w:kern w:val="0"/>
                <w:sz w:val="28"/>
                <w:szCs w:val="28"/>
                <w:highlight w:val="none"/>
                <w:u w:val="none"/>
                <w:lang w:val="en-US" w:eastAsia="zh-CN" w:bidi="ar"/>
              </w:rPr>
              <w:t>电子信息</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1.8</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信息技术</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1.6</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机电装备</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非金属新材料</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镁基新材料</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现代服务业</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7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绿色食品深加工业</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00" w:hRule="atLeast"/>
          <w:jc w:val="center"/>
        </w:trPr>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智能制造装备业</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2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r>
    </w:tbl>
    <w:p>
      <w:pPr>
        <w:pStyle w:val="2"/>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eastAsia" w:ascii="仿宋_GB2312" w:hAnsi="仿宋_GB2312" w:eastAsia="仿宋_GB2312" w:cs="仿宋_GB2312"/>
          <w:i w:val="0"/>
          <w:iCs w:val="0"/>
          <w:color w:val="000000"/>
          <w:spacing w:val="-17"/>
          <w:kern w:val="0"/>
          <w:sz w:val="32"/>
          <w:szCs w:val="32"/>
          <w:u w:val="none"/>
          <w:lang w:val="en-US" w:eastAsia="zh-CN" w:bidi="ar"/>
        </w:rPr>
        <w:sectPr>
          <w:footerReference r:id="rId3" w:type="default"/>
          <w:pgSz w:w="11906" w:h="16838"/>
          <w:pgMar w:top="1440" w:right="1800" w:bottom="1440" w:left="1800" w:header="851" w:footer="992" w:gutter="0"/>
          <w:cols w:space="425" w:num="1"/>
          <w:docGrid w:type="lines" w:linePitch="312" w:charSpace="0"/>
        </w:sectPr>
      </w:pPr>
    </w:p>
    <w:p>
      <w:pPr>
        <w:pStyle w:val="2"/>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eastAsia" w:ascii="仿宋_GB2312" w:hAnsi="仿宋_GB2312" w:cs="仿宋_GB2312"/>
          <w:i w:val="0"/>
          <w:iCs w:val="0"/>
          <w:color w:val="000000"/>
          <w:spacing w:val="-17"/>
          <w:kern w:val="0"/>
          <w:sz w:val="32"/>
          <w:szCs w:val="32"/>
          <w:u w:val="none"/>
          <w:lang w:val="en-US" w:eastAsia="zh-CN" w:bidi="ar"/>
        </w:rPr>
      </w:pPr>
      <w:r>
        <w:rPr>
          <w:rFonts w:hint="eastAsia" w:ascii="仿宋_GB2312" w:hAnsi="仿宋_GB2312" w:cs="仿宋_GB2312"/>
          <w:i w:val="0"/>
          <w:iCs w:val="0"/>
          <w:color w:val="000000"/>
          <w:spacing w:val="-17"/>
          <w:kern w:val="0"/>
          <w:sz w:val="32"/>
          <w:szCs w:val="32"/>
          <w:u w:val="none"/>
          <w:lang w:val="en-US" w:eastAsia="zh-CN" w:bidi="ar"/>
        </w:rPr>
        <w:t>附件2</w:t>
      </w:r>
    </w:p>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方正小标宋简体" w:hAnsi="方正小标宋简体" w:eastAsia="方正小标宋简体" w:cs="方正小标宋简体"/>
          <w:i w:val="0"/>
          <w:iCs w:val="0"/>
          <w:color w:val="000000"/>
          <w:spacing w:val="-17"/>
          <w:kern w:val="0"/>
          <w:sz w:val="44"/>
          <w:szCs w:val="44"/>
          <w:u w:val="none"/>
          <w:lang w:val="en-US" w:eastAsia="zh-CN" w:bidi="ar"/>
        </w:rPr>
      </w:pPr>
      <w:r>
        <w:rPr>
          <w:rFonts w:hint="eastAsia" w:ascii="方正小标宋简体" w:hAnsi="方正小标宋简体" w:eastAsia="方正小标宋简体" w:cs="方正小标宋简体"/>
          <w:i w:val="0"/>
          <w:iCs w:val="0"/>
          <w:color w:val="000000"/>
          <w:spacing w:val="-17"/>
          <w:kern w:val="0"/>
          <w:sz w:val="44"/>
          <w:szCs w:val="44"/>
          <w:u w:val="none"/>
          <w:lang w:val="en-US" w:eastAsia="zh-CN" w:bidi="ar"/>
        </w:rPr>
        <w:t>征求意见反馈表</w:t>
      </w:r>
    </w:p>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lang w:val="en-US" w:eastAsia="zh-CN" w:bidi="ar"/>
        </w:rPr>
      </w:pPr>
      <w:r>
        <w:rPr>
          <w:rFonts w:hint="eastAsia" w:ascii="仿宋_GB2312" w:hAnsi="仿宋_GB2312" w:cs="仿宋_GB2312"/>
          <w:i w:val="0"/>
          <w:iCs w:val="0"/>
          <w:color w:val="000000"/>
          <w:spacing w:val="-17"/>
          <w:kern w:val="0"/>
          <w:sz w:val="32"/>
          <w:szCs w:val="32"/>
          <w:u w:val="none"/>
          <w:lang w:val="en-US" w:eastAsia="zh-CN" w:bidi="ar"/>
        </w:rPr>
        <w:t xml:space="preserve">                                       </w:t>
      </w:r>
      <w:r>
        <w:rPr>
          <w:rFonts w:hint="eastAsia" w:ascii="仿宋_GB2312" w:hAnsi="仿宋_GB2312" w:eastAsia="仿宋_GB2312" w:cs="仿宋_GB2312"/>
          <w:i w:val="0"/>
          <w:iCs w:val="0"/>
          <w:color w:val="000000"/>
          <w:spacing w:val="-17"/>
          <w:kern w:val="0"/>
          <w:sz w:val="32"/>
          <w:szCs w:val="32"/>
          <w:u w:val="none"/>
          <w:lang w:val="en-US" w:eastAsia="zh-CN" w:bidi="ar"/>
        </w:rPr>
        <w:t>填表人：</w:t>
      </w:r>
    </w:p>
    <w:tbl>
      <w:tblPr>
        <w:tblStyle w:val="8"/>
        <w:tblW w:w="8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6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1" w:hRule="atLeast"/>
        </w:trPr>
        <w:tc>
          <w:tcPr>
            <w:tcW w:w="2034" w:type="dxa"/>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vertAlign w:val="baseline"/>
                <w:lang w:val="en-US" w:eastAsia="zh-CN" w:bidi="ar"/>
              </w:rPr>
            </w:pPr>
            <w:r>
              <w:rPr>
                <w:rFonts w:hint="eastAsia" w:ascii="仿宋_GB2312" w:hAnsi="仿宋_GB2312" w:cs="仿宋_GB2312"/>
                <w:i w:val="0"/>
                <w:iCs w:val="0"/>
                <w:color w:val="000000"/>
                <w:spacing w:val="-17"/>
                <w:kern w:val="0"/>
                <w:sz w:val="32"/>
                <w:szCs w:val="32"/>
                <w:u w:val="none"/>
                <w:vertAlign w:val="baseline"/>
                <w:lang w:val="en-US" w:eastAsia="zh-CN" w:bidi="ar"/>
              </w:rPr>
              <w:t>文件名称</w:t>
            </w:r>
          </w:p>
        </w:tc>
        <w:tc>
          <w:tcPr>
            <w:tcW w:w="6386" w:type="dxa"/>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35" w:hRule="atLeast"/>
        </w:trPr>
        <w:tc>
          <w:tcPr>
            <w:tcW w:w="2034" w:type="dxa"/>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cs="仿宋_GB2312"/>
                <w:i w:val="0"/>
                <w:iCs w:val="0"/>
                <w:color w:val="000000"/>
                <w:spacing w:val="-17"/>
                <w:kern w:val="0"/>
                <w:sz w:val="32"/>
                <w:szCs w:val="32"/>
                <w:u w:val="none"/>
                <w:vertAlign w:val="baseline"/>
                <w:lang w:val="en-US" w:eastAsia="zh-CN" w:bidi="ar"/>
              </w:rPr>
            </w:pPr>
            <w:r>
              <w:rPr>
                <w:rFonts w:hint="eastAsia" w:ascii="仿宋_GB2312" w:hAnsi="仿宋_GB2312" w:cs="仿宋_GB2312"/>
                <w:i w:val="0"/>
                <w:iCs w:val="0"/>
                <w:color w:val="000000"/>
                <w:spacing w:val="-17"/>
                <w:kern w:val="0"/>
                <w:sz w:val="32"/>
                <w:szCs w:val="32"/>
                <w:u w:val="none"/>
                <w:vertAlign w:val="baseline"/>
                <w:lang w:val="en-US" w:eastAsia="zh-CN" w:bidi="ar"/>
              </w:rPr>
              <w:t>修改意见</w:t>
            </w:r>
          </w:p>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vertAlign w:val="baseline"/>
                <w:lang w:val="en-US" w:eastAsia="zh-CN" w:bidi="ar"/>
              </w:rPr>
            </w:pPr>
            <w:r>
              <w:rPr>
                <w:rFonts w:hint="eastAsia" w:ascii="仿宋_GB2312" w:hAnsi="仿宋_GB2312" w:cs="仿宋_GB2312"/>
                <w:i w:val="0"/>
                <w:iCs w:val="0"/>
                <w:color w:val="000000"/>
                <w:spacing w:val="-17"/>
                <w:kern w:val="0"/>
                <w:sz w:val="32"/>
                <w:szCs w:val="32"/>
                <w:u w:val="none"/>
                <w:vertAlign w:val="baseline"/>
                <w:lang w:val="en-US" w:eastAsia="zh-CN" w:bidi="ar"/>
              </w:rPr>
              <w:t>和建议</w:t>
            </w:r>
          </w:p>
        </w:tc>
        <w:tc>
          <w:tcPr>
            <w:tcW w:w="6386" w:type="dxa"/>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0" w:hRule="atLeast"/>
        </w:trPr>
        <w:tc>
          <w:tcPr>
            <w:tcW w:w="2034" w:type="dxa"/>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cs="仿宋_GB2312"/>
                <w:i w:val="0"/>
                <w:iCs w:val="0"/>
                <w:color w:val="000000"/>
                <w:spacing w:val="-17"/>
                <w:kern w:val="0"/>
                <w:sz w:val="32"/>
                <w:szCs w:val="32"/>
                <w:u w:val="none"/>
                <w:vertAlign w:val="baseline"/>
                <w:lang w:val="en-US" w:eastAsia="zh-CN" w:bidi="ar"/>
              </w:rPr>
            </w:pPr>
            <w:r>
              <w:rPr>
                <w:rFonts w:hint="eastAsia" w:ascii="仿宋_GB2312" w:hAnsi="仿宋_GB2312" w:cs="仿宋_GB2312"/>
                <w:i w:val="0"/>
                <w:iCs w:val="0"/>
                <w:color w:val="000000"/>
                <w:spacing w:val="-17"/>
                <w:kern w:val="0"/>
                <w:sz w:val="32"/>
                <w:szCs w:val="32"/>
                <w:u w:val="none"/>
                <w:vertAlign w:val="baseline"/>
                <w:lang w:val="en-US" w:eastAsia="zh-CN" w:bidi="ar"/>
              </w:rPr>
              <w:t>修改依据</w:t>
            </w:r>
          </w:p>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vertAlign w:val="baseline"/>
                <w:lang w:val="en-US" w:eastAsia="zh-CN" w:bidi="ar"/>
              </w:rPr>
            </w:pPr>
            <w:r>
              <w:rPr>
                <w:rFonts w:hint="eastAsia" w:ascii="仿宋_GB2312" w:hAnsi="仿宋_GB2312" w:cs="仿宋_GB2312"/>
                <w:i w:val="0"/>
                <w:iCs w:val="0"/>
                <w:color w:val="000000"/>
                <w:spacing w:val="-17"/>
                <w:kern w:val="0"/>
                <w:sz w:val="32"/>
                <w:szCs w:val="32"/>
                <w:u w:val="none"/>
                <w:vertAlign w:val="baseline"/>
                <w:lang w:val="en-US" w:eastAsia="zh-CN" w:bidi="ar"/>
              </w:rPr>
              <w:t>或理由</w:t>
            </w:r>
          </w:p>
        </w:tc>
        <w:tc>
          <w:tcPr>
            <w:tcW w:w="6386" w:type="dxa"/>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vertAlign w:val="baseline"/>
                <w:lang w:val="en-US" w:eastAsia="zh-CN" w:bidi="ar"/>
              </w:rPr>
            </w:pPr>
          </w:p>
        </w:tc>
      </w:tr>
    </w:tbl>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仿宋_GB2312" w:hAnsi="仿宋_GB2312" w:eastAsia="仿宋_GB2312" w:cs="仿宋_GB2312"/>
          <w:i w:val="0"/>
          <w:iCs w:val="0"/>
          <w:color w:val="000000"/>
          <w:spacing w:val="-17"/>
          <w:kern w:val="0"/>
          <w:sz w:val="32"/>
          <w:szCs w:val="32"/>
          <w:u w:val="none"/>
          <w:lang w:val="en-US" w:eastAsia="zh-CN" w:bidi="ar"/>
        </w:rPr>
      </w:pPr>
      <w:r>
        <w:rPr>
          <w:rFonts w:hint="eastAsia" w:ascii="仿宋_GB2312" w:hAnsi="仿宋_GB2312" w:cs="仿宋_GB2312"/>
          <w:i w:val="0"/>
          <w:iCs w:val="0"/>
          <w:color w:val="000000"/>
          <w:spacing w:val="-17"/>
          <w:kern w:val="0"/>
          <w:sz w:val="32"/>
          <w:szCs w:val="32"/>
          <w:u w:val="none"/>
          <w:lang w:val="en-US" w:eastAsia="zh-CN" w:bidi="ar"/>
        </w:rPr>
        <w:t>填表日期：                                       联系电话：</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5MWQyMzBjZTJlZWQwNzczNzQ0MGMzYTY5Y2QyZjgifQ=="/>
  </w:docVars>
  <w:rsids>
    <w:rsidRoot w:val="30934B38"/>
    <w:rsid w:val="00437F86"/>
    <w:rsid w:val="01B14181"/>
    <w:rsid w:val="05353221"/>
    <w:rsid w:val="068D4B58"/>
    <w:rsid w:val="08866E69"/>
    <w:rsid w:val="0A257652"/>
    <w:rsid w:val="0A384D1A"/>
    <w:rsid w:val="0CB31E23"/>
    <w:rsid w:val="12AD766B"/>
    <w:rsid w:val="14CE1C16"/>
    <w:rsid w:val="152F26D4"/>
    <w:rsid w:val="169A56B0"/>
    <w:rsid w:val="18516C7A"/>
    <w:rsid w:val="1E5A7CB3"/>
    <w:rsid w:val="1F6BDE07"/>
    <w:rsid w:val="20E601EB"/>
    <w:rsid w:val="21D25A44"/>
    <w:rsid w:val="23544763"/>
    <w:rsid w:val="256D2982"/>
    <w:rsid w:val="263F2D04"/>
    <w:rsid w:val="2B0B34C8"/>
    <w:rsid w:val="2CD7649B"/>
    <w:rsid w:val="2DEF714E"/>
    <w:rsid w:val="2EEE3B65"/>
    <w:rsid w:val="2FFE9F40"/>
    <w:rsid w:val="30934B38"/>
    <w:rsid w:val="30E54C8F"/>
    <w:rsid w:val="39BA5ACA"/>
    <w:rsid w:val="3A0D6176"/>
    <w:rsid w:val="3B7974CC"/>
    <w:rsid w:val="3C805837"/>
    <w:rsid w:val="3CA54C0D"/>
    <w:rsid w:val="3F560F11"/>
    <w:rsid w:val="41565506"/>
    <w:rsid w:val="43F5199A"/>
    <w:rsid w:val="45016925"/>
    <w:rsid w:val="48194880"/>
    <w:rsid w:val="4A5D4376"/>
    <w:rsid w:val="4A951483"/>
    <w:rsid w:val="4BDD0960"/>
    <w:rsid w:val="4CDC6792"/>
    <w:rsid w:val="4D4B54DB"/>
    <w:rsid w:val="4DEA41F9"/>
    <w:rsid w:val="4EFF4571"/>
    <w:rsid w:val="4F3E49AF"/>
    <w:rsid w:val="4FBB0978"/>
    <w:rsid w:val="51344EC6"/>
    <w:rsid w:val="52C004C8"/>
    <w:rsid w:val="53334A48"/>
    <w:rsid w:val="54A019BC"/>
    <w:rsid w:val="550D3485"/>
    <w:rsid w:val="55DA564E"/>
    <w:rsid w:val="5B773940"/>
    <w:rsid w:val="5FFC654F"/>
    <w:rsid w:val="60920394"/>
    <w:rsid w:val="60B11062"/>
    <w:rsid w:val="621340A9"/>
    <w:rsid w:val="674C0C8F"/>
    <w:rsid w:val="677EECD2"/>
    <w:rsid w:val="68546ED0"/>
    <w:rsid w:val="68E5372B"/>
    <w:rsid w:val="6AD964CA"/>
    <w:rsid w:val="6DA94B4F"/>
    <w:rsid w:val="6E421B8B"/>
    <w:rsid w:val="6EB6680B"/>
    <w:rsid w:val="6F4256DF"/>
    <w:rsid w:val="6F4F680E"/>
    <w:rsid w:val="72F37D9A"/>
    <w:rsid w:val="738A2F13"/>
    <w:rsid w:val="73BEE38F"/>
    <w:rsid w:val="759058D2"/>
    <w:rsid w:val="75C33EB4"/>
    <w:rsid w:val="764A41EA"/>
    <w:rsid w:val="76984A3E"/>
    <w:rsid w:val="77FD0579"/>
    <w:rsid w:val="7B6340A9"/>
    <w:rsid w:val="7BE9561B"/>
    <w:rsid w:val="7CA905D0"/>
    <w:rsid w:val="7E0432C1"/>
    <w:rsid w:val="7FC56BC2"/>
    <w:rsid w:val="7FEB6D3F"/>
    <w:rsid w:val="AEFDEFF8"/>
    <w:rsid w:val="DB5F223A"/>
    <w:rsid w:val="DDBFCABE"/>
    <w:rsid w:val="E3A77410"/>
    <w:rsid w:val="F8F74B20"/>
    <w:rsid w:val="FDB50682"/>
    <w:rsid w:val="FE7527CF"/>
    <w:rsid w:val="FFF7A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after="120"/>
    </w:pPr>
    <w:rPr>
      <w:rFonts w:eastAsia="仿宋_GB2312"/>
      <w:sz w:val="32"/>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qFormat/>
    <w:uiPriority w:val="0"/>
    <w:rPr>
      <w:color w:val="0000FF"/>
      <w:u w:val="single"/>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自然资源和规划局</Company>
  <Pages>5</Pages>
  <Words>2016</Words>
  <Characters>2135</Characters>
  <Lines>0</Lines>
  <Paragraphs>0</Paragraphs>
  <TotalTime>22</TotalTime>
  <ScaleCrop>false</ScaleCrop>
  <LinksUpToDate>false</LinksUpToDate>
  <CharactersWithSpaces>2138</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2023-08-26T14:44:00Z</dcterms:created>
  <dc:creator>Administrator</dc:creator>
  <cp:lastModifiedBy>element</cp:lastModifiedBy>
  <dcterms:modified xsi:type="dcterms:W3CDTF">2025-06-11T08:33:39Z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B360091887B24A1ABAE35CF19F06FCF2</vt:lpwstr>
  </property>
</Properties>
</file>